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Response to Reviewer, Round 2</w:t>
      </w:r>
    </w:p>
    <w:p>
      <w:r>
        <w:t>We thank the reviewer for identifying the dimensional inconsistency and the statistical error below; both required substantive correction, not only rewording.</w:t>
      </w:r>
    </w:p>
    <w:p>
      <w:pPr>
        <w:pStyle w:val="Heading3"/>
      </w:pPr>
      <w:r>
        <w:t>1. Dimensional inconsistency (Q_HA vs. Q_PV)</w:t>
      </w:r>
    </w:p>
    <w:p>
      <w:r>
        <w:t>Corrected, not merely disclosed. Q_HA is now a genuine mL/min-scale volumetric flow throughout the model, on the same physical basis as Q_PV, related to Doppler velocity only via an explicit hepatic-artery cross-sectional-area assumption (new Section 2.2.1): diameter 1.2 mm, from a healthy infant control group in a paediatric ultrasound reference study (Kim et al., 2007) -- the best published paediatric value we located, explicitly flagged as an assumption for this cohort's graft artery, not a measurement of it. All post-LDLT calculations were rerun under this corrected formulation. The diameter-sensitivity finding (fragility to a 10% portal-diameter-growth assumption) persists after the fix, confirming it is a real property of the model's response, not an artefact of the prior inconsistency. We no longer describe HABR as 'directionally necessary'; Results 3.5 and the Conclusion now use language close to your suggested phrasing directly.</w:t>
      </w:r>
    </w:p>
    <w:p>
      <w:pPr>
        <w:pStyle w:val="Heading3"/>
      </w:pPr>
      <w:r>
        <w:t>2. RI confidence-interval error</w:t>
      </w:r>
    </w:p>
    <w:p>
      <w:r>
        <w:t>You are correct and we have corrected the error throughout (Results 3.4, and the response text below): a 95% CI of [-0.010, +0.010] EXCLUDES a true difference of 0.020; it does not fail to exclude it. The manuscript now states the narrower, correct conclusion: no statistically detectable difference; compatible with true differences up to about 0.01; the clinical/mechanistic significance of a 0.01 change is a separate, unresolved question; and explicitly, this does NOT mean a 0.02-magnitude change remains possible at POD7-30.</w:t>
      </w:r>
    </w:p>
    <w:p>
      <w:pPr>
        <w:pStyle w:val="Heading3"/>
      </w:pPr>
      <w:r>
        <w:t>3. 'Equivalence test' mislabelled</w:t>
      </w:r>
    </w:p>
    <w:p>
      <w:r>
        <w:t>Removed throughout. Section 2.6 now describes this as an ordinary unpaired comparison of summary statistics (Welch's t-test and CI), with no equivalence margin or TOST procedure claimed.</w:t>
      </w:r>
    </w:p>
    <w:p>
      <w:pPr>
        <w:pStyle w:val="Heading3"/>
      </w:pPr>
      <w:r>
        <w:t>4. Portal pathway / time-notation ambiguity</w:t>
      </w:r>
    </w:p>
    <w:p>
      <w:r>
        <w:t>Clarified explicitly in revised Methods 2.2/2.2.1/2.4: two distinct time variables are now named separately (tau for time within a cardiac cycle; 'day'/POD for postoperative time indexing independent simulations). The text states plainly that the portal-vein ODE is disabled in the post-LDLT configuration and Q_PV is a prescribed, day-specific constant, overwritten between days, not evolved continuously.</w:t>
      </w:r>
    </w:p>
    <w:p>
      <w:pPr>
        <w:pStyle w:val="Heading3"/>
      </w:pPr>
      <w:r>
        <w:t>5. HABR-to-resistance update underdefined</w:t>
      </w:r>
    </w:p>
    <w:p>
      <w:r>
        <w:t>Added the exact update procedure (Methods 2.3): reference day, sign convention, the POD1-referenced (non-cumulative) convention used in the continuous scenario, the single-application convention in the acute-then-frozen scenario, and the root-finding procedure (Brent's method) with which parameters are held fixed during it.</w:t>
      </w:r>
    </w:p>
    <w:p>
      <w:pPr>
        <w:pStyle w:val="Heading3"/>
      </w:pPr>
      <w:r>
        <w:t>6. Monte Carlo interval reconsideration</w:t>
      </w:r>
    </w:p>
    <w:p>
      <w:r>
        <w:t>Addressed directly (Methods 2.8, renamed 'illustrative sensitivity intervals'): states explicitly that POD1 and later means were sampled independently (the wrong covariance structure for this repeated-measures cohort), that no draws were discarded (including near-zero or negative measured-decline draws, which produce the heavy-tailed POD7 interval), that PVV and model-parameter uncertainty were not propagated, and that these are not proper 95% confidence intervals.</w:t>
      </w:r>
    </w:p>
    <w:p>
      <w:pPr>
        <w:pStyle w:val="Heading3"/>
      </w:pPr>
      <w:r>
        <w:t>7. Conclusions stronger than justified</w:t>
      </w:r>
    </w:p>
    <w:p>
      <w:r>
        <w:t>Revised throughout, largely adopting your suggested wording: Results 3.5, Discussion, and Conclusion now state that under the primary scenario's specific assumptions the model predicts a reduction, and that this direction and magnitude are not robust to plausible alternative portal-calibre assumptions -- 'directionally necessary' and similar phrases have been removed.</w:t>
      </w:r>
    </w:p>
    <w:p>
      <w:pPr>
        <w:pStyle w:val="Heading3"/>
      </w:pPr>
      <w:r>
        <w:t>8. Response-letter tone</w:t>
      </w:r>
    </w:p>
    <w:p>
      <w:r>
        <w:t>Revised accordingly in this letter.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