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 Round 3</w:t>
      </w:r>
    </w:p>
    <w:p>
      <w:r>
        <w:t>We thank the reviewer for the continued detailed engagement. This revision focuses on propagating the two structural uncertainties identified, as recommended, rather than adding further caveats.</w:t>
      </w:r>
    </w:p>
    <w:p>
      <w:pPr>
        <w:pStyle w:val="Heading3"/>
      </w:pPr>
      <w:r>
        <w:t>1. POD1 calibration non-identifiability</w:t>
      </w:r>
    </w:p>
    <w:p>
      <w:r>
        <w:t>We generated the admissible (Rs_HA, L_HA, P_HA_amp) family directly (scanning P_HA_amp from its minimum feasible value, ~23.5 mmHg, to 60 mmHg, re-solving Rs_HA and L_HA for each) and propagated every member through POD30 (new Section 2.7 / 3.3, Figure 6). The resulting envelope is 20.2-27.1% of the measured decline reproduced -- narrower than might be feared, because Rs_HA and the resulting mean HA flow are nearly invariant across the family (L_HA and P_HA_amp trade off to preserve the same pulsatility ratio, but the mean-flow quantity driving the HABR update is well-constrained by the two POD1 targets). We report this as a genuine finding, not an assumption: this particular identifiability gap turns out not to be the dominant source of uncertainty, in contrast to the calibre assumptions below.</w:t>
      </w:r>
    </w:p>
    <w:p>
      <w:pPr>
        <w:pStyle w:val="Heading3"/>
      </w:pPr>
      <w:r>
        <w:t>2. HA diameter needs its own sensitivity analysis</w:t>
      </w:r>
    </w:p>
    <w:p>
      <w:r>
        <w:t>Added (new Section 2.7/3.5, Figures 7-8). The HA diameter's own published uncertainty (1.0-1.4 mm), properly re-anchored at POD1 for each value, has little effect (23.7-26.4%) -- an earlier, buggy version of this specific check failed to re-anchor and gave a spurious large effect, which we caught and fixed before reporting. Postoperative HA diameter GROWTH, however, has a large effect in the OPPOSITE direction to portal growth (25.3% at 0% growth to 191.2% at 40% growth). A 2D grid varying both jointly (Figure 8) shows the combined range is -44% to +129% across a modest, jointly plausible 0-20% growth in each vessel -- we no longer imply calibre uncertainty is a portal-only concern.</w:t>
      </w:r>
    </w:p>
    <w:p>
      <w:pPr>
        <w:pStyle w:val="Heading3"/>
      </w:pPr>
      <w:r>
        <w:t>3. Physical units incompletely specified</w:t>
      </w:r>
    </w:p>
    <w:p>
      <w:r>
        <w:t>Table 3 and Methods 2.2 now state explicit units for every element (P in mmHg, Q in mL/s during integration, tau in seconds, giving Rs/Rp in mmHg*s/mL, L in mmHg*s^2/mL, C in mL/mmHg), derived directly from the units already implicit in the code rather than newly invented.</w:t>
      </w:r>
    </w:p>
    <w:p>
      <w:pPr>
        <w:pStyle w:val="Heading3"/>
      </w:pPr>
      <w:r>
        <w:t>4. Mean flow vs. Doppler PSV</w:t>
      </w:r>
    </w:p>
    <w:p>
      <w:r>
        <w:t>Addressed directly in new Section 2.2.1: v=Q/A gives a cross-sectional mean velocity, not the spatial-peak quantity PSV conventionally represents, and no HA-side profile factor analogous to Chen et al.'s portal 0.57 is applied. Because this is absorbed into the POD1 fit, we no longer describe the resulting 25.0 mL/min mean flow as an external plausibility check; Results 3.2 states this explicitly, and only relative (percent) flow changes and RI (both invariant to a fixed unmodelled profile factor) are used in the conclusions.</w:t>
      </w:r>
    </w:p>
    <w:p>
      <w:pPr>
        <w:pStyle w:val="Heading3"/>
      </w:pPr>
      <w:r>
        <w:t>5. Portal-flow formula / graft-mass scaling</w:t>
      </w:r>
    </w:p>
    <w:p>
      <w:r>
        <w:t>Ran the requested sensitivity check (new Section 2.7/3.5): scaling Q_PV by 0.5-2.0x (as if graft mass were 200-50 g) changes the POD30 result only from 25.5% to 25.1%. We report this as a genuine, reassuring finding -- this specific ambiguity, while conceptually valid, is not a material source of uncertainty in this model, unlike the calibre-growth assumptions.</w:t>
      </w:r>
    </w:p>
    <w:p>
      <w:pPr>
        <w:pStyle w:val="Heading3"/>
      </w:pPr>
      <w:r>
        <w:t>6. Revision-history narrative in the manuscript</w:t>
      </w:r>
    </w:p>
    <w:p>
      <w:r>
        <w:t>Removed throughout the manuscript (Abstract, Introduction, Section 2.2.1, figure captions, and one further passage in Section 2.7 describing how a bug in an intermediate check was found and fixed -- all now state the corrected method directly, with the process narrative confined to these response letters). 'Independent literature targets' changed to 'previously-derived calibration targets' throughout.</w:t>
      </w:r>
    </w:p>
    <w:p>
      <w:pPr>
        <w:pStyle w:val="Heading3"/>
      </w:pPr>
      <w:r>
        <w:t>Minor points</w:t>
      </w:r>
    </w:p>
    <w:p>
      <w:r>
        <w:t>Root-finding is now named precisely (Brent's method via scipy.optimize.brentq), with search bounds, bracket-expansion procedure, tolerance, and failure criterion stated (Section 2.3). The representative POD1 solution's origin is now explained (Section 2.4: the initial guess and warm-start procedure used to generate the admissible family, of which the representative member is simply the first solved). 'Whatever the model does not reproduce requires some other contributor' is changed to explicitly allow model misspecification and measurement error (Section 3.8). Code availability is upgraded from 'on request' to stating intent to publish a repository alongside submission. The Monte Carlo interval is retained but explicitly framed as secondary to the structural sensitivity analyses (Section 2.8, 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