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Response to Reviewer, Round 4</w:t>
      </w:r>
    </w:p>
    <w:p>
      <w:r>
        <w:t>We thank the reviewer for identifying the equation notation issue and the incomplete description of the arterial-growth analysis; both are addressed below, along with the wording and reporting issues raised.</w:t>
      </w:r>
    </w:p>
    <w:p>
      <w:pPr>
        <w:pStyle w:val="Heading3"/>
      </w:pPr>
      <w:r>
        <w:t>1. Factor-of-60 equation error</w:t>
      </w:r>
    </w:p>
    <w:p>
      <w:r>
        <w:t>Verified directly against the implementation: the code was already correct (mean HA flow 25.0 mL/min = 0.417 mL/s; dividing by A_HA=0.0113 cm^2 gives 36.9 cm/s, matching your own back-of-envelope check and consistent with the simulated PSV of 53.1 cm/s). The error was in the manuscript's written equation only. Corrected to v_HA(tau) = Q_HA(tau)/A_HA (Section 2.2.1), with Section 2.2 now stating explicitly that Q is in mL/s during integration, and a one-line dimensional check added.</w:t>
      </w:r>
    </w:p>
    <w:p>
      <w:pPr>
        <w:pStyle w:val="Heading3"/>
      </w:pPr>
      <w:r>
        <w:t>2. HA growth must state what changes in the circuit</w:t>
      </w:r>
    </w:p>
    <w:p>
      <w:r>
        <w:t>Agreed, and implemented as you suggested: the primary analysis is now explicitly labelled KINEMATIC DILUTION ONLY (only A_HA, the flow-to-velocity conversion area, changes; Rs_HA is still solved via the same HABR flow-target procedure, L_HA is unchanged) -- Section 2.7 and 3.5 state this precisely, and no longer use the phrase 'calibre-growth sensitivity dominates' without this qualification. A second, EXPLORATORY STRUCTURAL REMODELLING variant was added (new Table 4): L_HA additionally scaled geometrically (~1/(1+g)^2) with assumed growth, Rs_HA still solved via the HABR flow target using this grown L_HA. The two give quantitatively close results (e.g. 191.2% vs. 185.6% at 40% growth) -- reported as a genuine check, not assumed to agree in advance.</w:t>
      </w:r>
    </w:p>
    <w:p>
      <w:pPr>
        <w:pStyle w:val="Heading3"/>
      </w:pPr>
      <w:r>
        <w:t>3. 'Entire admissible parameter family' overstated</w:t>
      </w:r>
    </w:p>
    <w:p>
      <w:r>
        <w:t>Corrected throughout to name the explored range explicitly (P_HA_amp in [23.5, 60] mmHg). We tested extending to 300 mmHg (a supraphysiological pulse pressure, for mathematical convergence only) and found the envelope stabilises (20.2% at 60 mmHg to 18.8% at 300 mmHg) -- both the finding and this practical justification for the explored range are now stated (Section 2.7, 3.3). The full grid (19 points), L_HA range (2.16-22.23), Rs_HA range (127.92-127.93), fitting tolerance (objective &lt;1e-6), and root-finding details (bounds, expansion procedure, failure criterion) are now reported (Section 2.3, 2.7, Table 3).</w:t>
      </w:r>
    </w:p>
    <w:p>
      <w:pPr>
        <w:pStyle w:val="Heading3"/>
      </w:pPr>
      <w:r>
        <w:t>4. Calibre-growth ranges called 'plausible' without support</w:t>
      </w:r>
    </w:p>
    <w:p>
      <w:r>
        <w:t>Changed to 'illustrative' throughout (Sections 2.7, 3.5, Abstract, Discussion, Conclusion), with your suggested phrasing adopted closely: we state explicitly that no source measures serial calibre change in this population, and that this is precisely the gap the analysis is designed to expose.</w:t>
      </w:r>
    </w:p>
    <w:p>
      <w:pPr>
        <w:pStyle w:val="Heading3"/>
      </w:pPr>
      <w:r>
        <w:t>5. Baseline HA diameter combined with growth</w:t>
      </w:r>
    </w:p>
    <w:p>
      <w:r>
        <w:t>Added (Section 3.5): growth sensitivity (0-40%) repeated at baseline diameters 1.0, 1.2, and 1.4 mm. The growth-sensitivity shape is consistent across all three (e.g. at 20% growth: 129.5%, 128.8%, 127.7% respectively) -- the conclusion does not depend on which value within the published uncertainty is assumed.</w:t>
      </w:r>
    </w:p>
    <w:p>
      <w:pPr>
        <w:pStyle w:val="Heading3"/>
      </w:pPr>
      <w:r>
        <w:t>Interpretation and presentation</w:t>
      </w:r>
    </w:p>
    <w:p>
      <w:r>
        <w:t>Abstract reworded to state precisely which parameter is stable (Rs_HA) versus which two trade off (L_HA, P_HA_amp). Section 3.3 now explains why the fraction reproduced still varies (20.2-27.1%) despite near-constant Rs_HA and mean flow: PSV depends on the pulsatile shape of the waveform, not only its mean, so different (L_HA, P_HA_amp) combinations respond somewhat differently once Rs_HA is re-solved to a new target at POD30. 'Explained' changed to 'reproduced' throughout Section 3.5. Section 3.8's phrasing (allowing model misspecification and measurement error) is unchanged, as you noted it was already correct.</w:t>
      </w:r>
    </w:p>
    <w:p>
      <w:r>
        <w:t>On the code repository: we have not yet created one, and would rather confirm this with the corresponding author before doing so than state a URL that does not yet exist. The Data/code section now flags this explicitly as a pre-submission action item rather than implying it is already arranged.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