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Information</w:t>
      </w:r>
    </w:p>
    <w:p>
      <w:pPr>
        <w:jc w:val="center"/>
      </w:pPr>
      <w:r>
        <w:rPr>
          <w:i/>
        </w:rPr>
        <w:t>Testing the pharmacological consequences of liver zonation in MASLD using a spatial PK/PD framework</w:t>
      </w:r>
    </w:p>
    <w:p>
      <w:pPr>
        <w:jc w:val="center"/>
      </w:pPr>
      <w:r>
        <w:rPr>
          <w:b/>
        </w:rPr>
        <w:t>Harvey Ho | Rātā BioSim Lab, Auckland, New Zealand | harvey@ratalab.nz</w:t>
      </w:r>
    </w:p>
    <w:p>
      <w:pPr>
        <w:pStyle w:val="Heading1"/>
      </w:pPr>
      <w:r>
        <w:t>S1. Purpose and scope</w:t>
      </w:r>
    </w:p>
    <w:p>
      <w:r>
        <w:t>This Supplementary Information records the model structure, state definitions, parameter values, scenario design, and code organization used for the manuscript. The implementation contains two related but distinct components. The coupled transport prototype represents a ten-position CV-to-PV reduced mesh with zonated transporter fields, metabolite handling, bile advection, obstruction, and an injury state. The gadoxetate scaffold is a separate three-compartment calibration model with plasma, hepatocyte, and bile amounts plus parallel renal clearance. The normalized transport prototype is not a clinical dosing model and the coefficient fields are hypothesis parameters pending functional calibration.</w:t>
      </w:r>
    </w:p>
    <w:p>
      <w:pPr>
        <w:pStyle w:val="Heading1"/>
      </w:pPr>
      <w:r>
        <w:t>S2. Model architecture</w:t>
      </w:r>
    </w:p>
    <w:p>
      <w:pPr>
        <w:jc w:val="center"/>
      </w:pPr>
      <w:r>
        <w:drawing>
          <wp:inline xmlns:a="http://schemas.openxmlformats.org/drawingml/2006/main" xmlns:pic="http://schemas.openxmlformats.org/drawingml/2006/picture">
            <wp:extent cx="6309360" cy="3462601"/>
            <wp:docPr id="1" name="Picture 1"/>
            <wp:cNvGraphicFramePr>
              <a:graphicFrameLocks noChangeAspect="1"/>
            </wp:cNvGraphicFramePr>
            <a:graphic>
              <a:graphicData uri="http://schemas.openxmlformats.org/drawingml/2006/picture">
                <pic:pic>
                  <pic:nvPicPr>
                    <pic:cNvPr id="0" name="supplementary_model_diagram.png"/>
                    <pic:cNvPicPr/>
                  </pic:nvPicPr>
                  <pic:blipFill>
                    <a:blip r:embed="rId9"/>
                    <a:stretch>
                      <a:fillRect/>
                    </a:stretch>
                  </pic:blipFill>
                  <pic:spPr>
                    <a:xfrm>
                      <a:off x="0" y="0"/>
                      <a:ext cx="6309360" cy="3462601"/>
                    </a:xfrm>
                    <a:prstGeom prst="rect"/>
                  </pic:spPr>
                </pic:pic>
              </a:graphicData>
            </a:graphic>
          </wp:inline>
        </w:drawing>
      </w:r>
    </w:p>
    <w:p>
      <w:pPr>
        <w:jc w:val="center"/>
      </w:pPr>
      <w:r>
        <w:rPr>
          <w:i/>
        </w:rPr>
        <w:t>Figure S1. Computational architecture of the coupled transport prototype and the separate gadoxetate calibration scaffold. Disease state and transporter fields modify uptake, export, metabolism, injury susceptibility, and basolateral escape; obstruction scales local bile velocity. The upper layer is a new reduced pharmacology adapter using Michael Kuecken's input profile, not a reproduction of the original full bile-flow solver.</w:t>
      </w:r>
    </w:p>
    <w:p>
      <w:pPr>
        <w:pStyle w:val="Heading1"/>
      </w:pPr>
      <w:r>
        <w:t>S3. Coupled transport prototype</w:t>
      </w:r>
    </w:p>
    <w:p>
      <w:r>
        <w:t>The prototype uses ten reduced positions ordered from central to portal: central, central, mid, mid, mid, periportal, periportal, portal, portal, portal. Michael Kuecken's normal-control and steatosis input profiles provide the local quantities A, K, epithelial volume fraction e, and connectivity. A normalized carrier velocity is calculated as v_i = (A_i/K_i)e_i^-1 c_i / median[(A/K)e^-1 c]. Obstruction scales this velocity by (1 - obstruction).</w:t>
      </w:r>
    </w:p>
    <w:p>
      <w:r>
        <w:t>The implemented state vector is y = [p_1...p_10, m_1...m_10, b_1...b_10, I_1...I_10], where p is the local parent pool, m is the metabolite/active hepatocyte pool, b is bile-side metabolite amount, and I is a normalized injury state. In this prototype, p_i is not a full plasma compartment; it is a zone-local parent pool driven by the input pulse.</w:t>
      </w:r>
    </w:p>
    <w:p>
      <w:pPr>
        <w:pStyle w:val="Heading2"/>
      </w:pPr>
      <w:r>
        <w:t>S3.1 Governing equations</w:t>
      </w:r>
    </w:p>
    <w:p>
      <w:pPr>
        <w:spacing w:before="40" w:after="40"/>
        <w:jc w:val="center"/>
      </w:pPr>
      <w:r>
        <w:rPr>
          <w:rFonts w:ascii="Cambria Math" w:hAnsi="Cambria Math"/>
          <w:i/>
          <w:sz w:val="21"/>
        </w:rPr>
        <w:t>u_i = 0.10 * U_i * q_u * exp(-1.7 i/n) * 1(t &lt;= 2)</w:t>
      </w:r>
    </w:p>
    <w:p>
      <w:pPr>
        <w:spacing w:before="40" w:after="40"/>
        <w:jc w:val="center"/>
      </w:pPr>
      <w:r>
        <w:rPr>
          <w:rFonts w:ascii="Cambria Math" w:hAnsi="Cambria Math"/>
          <w:i/>
          <w:sz w:val="21"/>
        </w:rPr>
        <w:t>r_i = 0.40 * CYP_i * p_i/(0.35 + p_i)</w:t>
      </w:r>
    </w:p>
    <w:p>
      <w:pPr>
        <w:spacing w:before="40" w:after="40"/>
        <w:jc w:val="center"/>
      </w:pPr>
      <w:r>
        <w:rPr>
          <w:rFonts w:ascii="Cambria Math" w:hAnsi="Cambria Math"/>
          <w:i/>
          <w:sz w:val="21"/>
        </w:rPr>
        <w:t>x_i = f_m * C_i * X_i * 0.30 * m_i/(0.25 + m_i)</w:t>
      </w:r>
    </w:p>
    <w:p>
      <w:pPr>
        <w:spacing w:before="40" w:after="40"/>
        <w:jc w:val="center"/>
      </w:pPr>
      <w:r>
        <w:rPr>
          <w:rFonts w:ascii="Cambria Math" w:hAnsi="Cambria Math"/>
          <w:i/>
          <w:sz w:val="21"/>
        </w:rPr>
        <w:t>dp_i/dt = u_i - r_i - 0.025 p_i</w:t>
      </w:r>
    </w:p>
    <w:p>
      <w:pPr>
        <w:spacing w:before="40" w:after="40"/>
        <w:jc w:val="center"/>
      </w:pPr>
      <w:r>
        <w:rPr>
          <w:rFonts w:ascii="Cambria Math" w:hAnsi="Cambria Math"/>
          <w:i/>
          <w:sz w:val="21"/>
        </w:rPr>
        <w:t>dm_i/dt = r_i - x_i - 0.020 m_i</w:t>
      </w:r>
    </w:p>
    <w:p>
      <w:pPr>
        <w:spacing w:before="40" w:after="40"/>
        <w:jc w:val="center"/>
      </w:pPr>
      <w:r>
        <w:rPr>
          <w:rFonts w:ascii="Cambria Math" w:hAnsi="Cambria Math"/>
          <w:i/>
          <w:sz w:val="21"/>
        </w:rPr>
        <w:t>db_i/dt = x_i/e_i + v_(i-1)b_(i-1) - v_i b_i</w:t>
      </w:r>
    </w:p>
    <w:p>
      <w:pPr>
        <w:spacing w:before="40" w:after="40"/>
        <w:jc w:val="center"/>
      </w:pPr>
      <w:r>
        <w:rPr>
          <w:rFonts w:ascii="Cambria Math" w:hAnsi="Cambria Math"/>
          <w:i/>
          <w:sz w:val="21"/>
        </w:rPr>
        <w:t>dI_i/dt = 0.020 J_i L_i - 0.004 I_i + 0.003 E_i I_i</w:t>
      </w:r>
    </w:p>
    <w:p>
      <w:r>
        <w:t>Here U_i is the aggregated uptake capacity, C_i is the aggregated canalicular capacity, E_i is the aggregated basolateral escape capacity, J_i is the disease injury factor, f_m is the MRP2 activity factor, q_u is the uptake inhibition factor, and X_i is the disease export factor. The toxic load is L_i = max(0, m_i - 0.05 GSH_i) + 0.003 b_i. Local flow is max(0.08, v_i(1 - 0.80 I_i)). The first bile position receives an outflow term -v_1 b_1; upstream-to-downstream indexing follows the implementation's reduced CV-to-PV ordering.</w:t>
      </w:r>
    </w:p>
    <w:p>
      <w:pPr>
        <w:pStyle w:val="Heading2"/>
      </w:pPr>
      <w:r>
        <w:t>S3.2 Fixed numerical settings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1F4E79"/>
          </w:tcPr>
          <w:p>
            <w:pPr>
              <w:spacing w:after="20"/>
            </w:pPr>
            <w:r>
              <w:rPr>
                <w:color w:val="FFFFFF"/>
              </w:rPr>
            </w:r>
            <w:r>
              <w:rPr>
                <w:b/>
                <w:sz w:val="16"/>
              </w:rPr>
              <w:t>Item</w:t>
            </w:r>
          </w:p>
        </w:tc>
        <w:tc>
          <w:tcPr>
            <w:tcW w:type="dxa" w:w="3408"/>
            <w:vAlign w:val="center"/>
            <w:shd w:fill="1F4E79"/>
          </w:tcPr>
          <w:p>
            <w:pPr>
              <w:spacing w:after="20"/>
            </w:pPr>
            <w:r>
              <w:rPr>
                <w:color w:val="FFFFFF"/>
              </w:rPr>
            </w:r>
            <w:r>
              <w:rPr>
                <w:b/>
                <w:sz w:val="16"/>
              </w:rPr>
              <w:t>Value</w:t>
            </w:r>
          </w:p>
        </w:tc>
        <w:tc>
          <w:tcPr>
            <w:tcW w:type="dxa" w:w="3408"/>
            <w:vAlign w:val="center"/>
            <w:shd w:fill="1F4E79"/>
          </w:tcPr>
          <w:p>
            <w:pPr>
              <w:spacing w:after="20"/>
            </w:pPr>
            <w:r>
              <w:rPr>
                <w:color w:val="FFFFFF"/>
              </w:rPr>
            </w:r>
            <w:r>
              <w:rPr>
                <w:b/>
                <w:sz w:val="16"/>
              </w:rPr>
              <w:t>Interpretation</w:t>
            </w:r>
          </w:p>
        </w:tc>
      </w:tr>
      <w:tr>
        <w:trPr>
          <w:cantSplit/>
        </w:trPr>
        <w:tc>
          <w:tcPr>
            <w:tcW w:type="dxa" w:w="3408"/>
            <w:vAlign w:val="center"/>
          </w:tcPr>
          <w:p>
            <w:pPr>
              <w:spacing w:after="20"/>
            </w:pPr>
            <w:r/>
            <w:r>
              <w:rPr>
                <w:b w:val="0"/>
                <w:sz w:val="16"/>
              </w:rPr>
              <w:t>Time interval</w:t>
            </w:r>
          </w:p>
        </w:tc>
        <w:tc>
          <w:tcPr>
            <w:tcW w:type="dxa" w:w="3408"/>
            <w:vAlign w:val="center"/>
          </w:tcPr>
          <w:p>
            <w:pPr>
              <w:spacing w:after="20"/>
            </w:pPr>
            <w:r/>
            <w:r>
              <w:rPr>
                <w:b w:val="0"/>
                <w:sz w:val="16"/>
              </w:rPr>
              <w:t>0-60 model units</w:t>
            </w:r>
          </w:p>
        </w:tc>
        <w:tc>
          <w:tcPr>
            <w:tcW w:type="dxa" w:w="3408"/>
            <w:vAlign w:val="center"/>
          </w:tcPr>
          <w:p>
            <w:pPr>
              <w:spacing w:after="20"/>
            </w:pPr>
            <w:r/>
            <w:r>
              <w:rPr>
                <w:b w:val="0"/>
                <w:sz w:val="16"/>
              </w:rPr>
              <w:t>Transport prototype simulation window</w:t>
            </w:r>
          </w:p>
        </w:tc>
      </w:tr>
      <w:tr>
        <w:trPr>
          <w:cantSplit/>
        </w:trPr>
        <w:tc>
          <w:tcPr>
            <w:tcW w:type="dxa" w:w="3408"/>
            <w:vAlign w:val="center"/>
          </w:tcPr>
          <w:p>
            <w:pPr>
              <w:spacing w:after="20"/>
            </w:pPr>
            <w:r/>
            <w:r>
              <w:rPr>
                <w:b w:val="0"/>
                <w:sz w:val="16"/>
              </w:rPr>
              <w:t>Time grid</w:t>
            </w:r>
          </w:p>
        </w:tc>
        <w:tc>
          <w:tcPr>
            <w:tcW w:type="dxa" w:w="3408"/>
            <w:vAlign w:val="center"/>
          </w:tcPr>
          <w:p>
            <w:pPr>
              <w:spacing w:after="20"/>
            </w:pPr>
            <w:r/>
            <w:r>
              <w:rPr>
                <w:b w:val="0"/>
                <w:sz w:val="16"/>
              </w:rPr>
              <w:t>1201 points; delta t = 0.05</w:t>
            </w:r>
          </w:p>
        </w:tc>
        <w:tc>
          <w:tcPr>
            <w:tcW w:type="dxa" w:w="3408"/>
            <w:vAlign w:val="center"/>
          </w:tcPr>
          <w:p>
            <w:pPr>
              <w:spacing w:after="20"/>
            </w:pPr>
            <w:r/>
            <w:r>
              <w:rPr>
                <w:b w:val="0"/>
                <w:sz w:val="16"/>
              </w:rPr>
              <w:t>Output grid supplied to solve_ivp</w:t>
            </w:r>
          </w:p>
        </w:tc>
      </w:tr>
      <w:tr>
        <w:trPr>
          <w:cantSplit/>
        </w:trPr>
        <w:tc>
          <w:tcPr>
            <w:tcW w:type="dxa" w:w="3408"/>
            <w:vAlign w:val="center"/>
          </w:tcPr>
          <w:p>
            <w:pPr>
              <w:spacing w:after="20"/>
            </w:pPr>
            <w:r/>
            <w:r>
              <w:rPr>
                <w:b w:val="0"/>
                <w:sz w:val="16"/>
              </w:rPr>
              <w:t>Input pulse</w:t>
            </w:r>
          </w:p>
        </w:tc>
        <w:tc>
          <w:tcPr>
            <w:tcW w:type="dxa" w:w="3408"/>
            <w:vAlign w:val="center"/>
          </w:tcPr>
          <w:p>
            <w:pPr>
              <w:spacing w:after="20"/>
            </w:pPr>
            <w:r/>
            <w:r>
              <w:rPr>
                <w:b w:val="0"/>
                <w:sz w:val="16"/>
              </w:rPr>
              <w:t>1.0 for t &lt;= 2.0; 0 otherwise</w:t>
            </w:r>
          </w:p>
        </w:tc>
        <w:tc>
          <w:tcPr>
            <w:tcW w:type="dxa" w:w="3408"/>
            <w:vAlign w:val="center"/>
          </w:tcPr>
          <w:p>
            <w:pPr>
              <w:spacing w:after="20"/>
            </w:pPr>
            <w:r/>
            <w:r>
              <w:rPr>
                <w:b w:val="0"/>
                <w:sz w:val="16"/>
              </w:rPr>
              <w:t>Dimensionless normalized input</w:t>
            </w:r>
          </w:p>
        </w:tc>
      </w:tr>
      <w:tr>
        <w:trPr>
          <w:cantSplit/>
        </w:trPr>
        <w:tc>
          <w:tcPr>
            <w:tcW w:type="dxa" w:w="3408"/>
            <w:vAlign w:val="center"/>
          </w:tcPr>
          <w:p>
            <w:pPr>
              <w:spacing w:after="20"/>
            </w:pPr>
            <w:r/>
            <w:r>
              <w:rPr>
                <w:b w:val="0"/>
                <w:sz w:val="16"/>
              </w:rPr>
              <w:t>Integrator</w:t>
            </w:r>
          </w:p>
        </w:tc>
        <w:tc>
          <w:tcPr>
            <w:tcW w:type="dxa" w:w="3408"/>
            <w:vAlign w:val="center"/>
          </w:tcPr>
          <w:p>
            <w:pPr>
              <w:spacing w:after="20"/>
            </w:pPr>
            <w:r/>
            <w:r>
              <w:rPr>
                <w:b w:val="0"/>
                <w:sz w:val="16"/>
              </w:rPr>
              <w:t>scipy.integrate.solve_ivp</w:t>
            </w:r>
          </w:p>
        </w:tc>
        <w:tc>
          <w:tcPr>
            <w:tcW w:type="dxa" w:w="3408"/>
            <w:vAlign w:val="center"/>
          </w:tcPr>
          <w:p>
            <w:pPr>
              <w:spacing w:after="20"/>
            </w:pPr>
            <w:r/>
            <w:r>
              <w:rPr>
                <w:b w:val="0"/>
                <w:sz w:val="16"/>
              </w:rPr>
              <w:t>Adaptive ODE integration</w:t>
            </w:r>
          </w:p>
        </w:tc>
      </w:tr>
      <w:tr>
        <w:trPr>
          <w:cantSplit/>
        </w:trPr>
        <w:tc>
          <w:tcPr>
            <w:tcW w:type="dxa" w:w="3408"/>
            <w:vAlign w:val="center"/>
          </w:tcPr>
          <w:p>
            <w:pPr>
              <w:spacing w:after="20"/>
            </w:pPr>
            <w:r/>
            <w:r>
              <w:rPr>
                <w:b w:val="0"/>
                <w:sz w:val="16"/>
              </w:rPr>
              <w:t>Relative tolerance</w:t>
            </w:r>
          </w:p>
        </w:tc>
        <w:tc>
          <w:tcPr>
            <w:tcW w:type="dxa" w:w="3408"/>
            <w:vAlign w:val="center"/>
          </w:tcPr>
          <w:p>
            <w:pPr>
              <w:spacing w:after="20"/>
            </w:pPr>
            <w:r/>
            <w:r>
              <w:rPr>
                <w:b w:val="0"/>
                <w:sz w:val="16"/>
              </w:rPr>
              <w:t>1 x 10^-7</w:t>
            </w:r>
          </w:p>
        </w:tc>
        <w:tc>
          <w:tcPr>
            <w:tcW w:type="dxa" w:w="3408"/>
            <w:vAlign w:val="center"/>
          </w:tcPr>
          <w:p>
            <w:pPr>
              <w:spacing w:after="20"/>
            </w:pPr>
            <w:r/>
            <w:r>
              <w:rPr>
                <w:b w:val="0"/>
                <w:sz w:val="16"/>
              </w:rPr>
              <w:t>Solver setting</w:t>
            </w:r>
          </w:p>
        </w:tc>
      </w:tr>
      <w:tr>
        <w:trPr>
          <w:cantSplit/>
        </w:trPr>
        <w:tc>
          <w:tcPr>
            <w:tcW w:type="dxa" w:w="3408"/>
            <w:vAlign w:val="center"/>
          </w:tcPr>
          <w:p>
            <w:pPr>
              <w:spacing w:after="20"/>
            </w:pPr>
            <w:r/>
            <w:r>
              <w:rPr>
                <w:b w:val="0"/>
                <w:sz w:val="16"/>
              </w:rPr>
              <w:t>Absolute tolerance</w:t>
            </w:r>
          </w:p>
        </w:tc>
        <w:tc>
          <w:tcPr>
            <w:tcW w:type="dxa" w:w="3408"/>
            <w:vAlign w:val="center"/>
          </w:tcPr>
          <w:p>
            <w:pPr>
              <w:spacing w:after="20"/>
            </w:pPr>
            <w:r/>
            <w:r>
              <w:rPr>
                <w:b w:val="0"/>
                <w:sz w:val="16"/>
              </w:rPr>
              <w:t>1 x 10^-9</w:t>
            </w:r>
          </w:p>
        </w:tc>
        <w:tc>
          <w:tcPr>
            <w:tcW w:type="dxa" w:w="3408"/>
            <w:vAlign w:val="center"/>
          </w:tcPr>
          <w:p>
            <w:pPr>
              <w:spacing w:after="20"/>
            </w:pPr>
            <w:r/>
            <w:r>
              <w:rPr>
                <w:b w:val="0"/>
                <w:sz w:val="16"/>
              </w:rPr>
              <w:t>Solver setting</w:t>
            </w:r>
          </w:p>
        </w:tc>
      </w:tr>
      <w:tr>
        <w:trPr>
          <w:cantSplit/>
        </w:trPr>
        <w:tc>
          <w:tcPr>
            <w:tcW w:type="dxa" w:w="3408"/>
            <w:vAlign w:val="center"/>
          </w:tcPr>
          <w:p>
            <w:pPr>
              <w:spacing w:after="20"/>
            </w:pPr>
            <w:r/>
            <w:r>
              <w:rPr>
                <w:b w:val="0"/>
                <w:sz w:val="16"/>
              </w:rPr>
              <w:t>Uptake inhibition</w:t>
            </w:r>
          </w:p>
        </w:tc>
        <w:tc>
          <w:tcPr>
            <w:tcW w:type="dxa" w:w="3408"/>
            <w:vAlign w:val="center"/>
          </w:tcPr>
          <w:p>
            <w:pPr>
              <w:spacing w:after="20"/>
            </w:pPr>
            <w:r/>
            <w:r>
              <w:rPr>
                <w:b w:val="0"/>
                <w:sz w:val="16"/>
              </w:rPr>
              <w:t>q_u = 0.5</w:t>
            </w:r>
          </w:p>
        </w:tc>
        <w:tc>
          <w:tcPr>
            <w:tcW w:type="dxa" w:w="3408"/>
            <w:vAlign w:val="center"/>
          </w:tcPr>
          <w:p>
            <w:pPr>
              <w:spacing w:after="20"/>
            </w:pPr>
            <w:r/>
            <w:r>
              <w:rPr>
                <w:b w:val="0"/>
                <w:sz w:val="16"/>
              </w:rPr>
              <w:t>50% activity condition</w:t>
            </w:r>
          </w:p>
        </w:tc>
      </w:tr>
      <w:tr>
        <w:trPr>
          <w:cantSplit/>
        </w:trPr>
        <w:tc>
          <w:tcPr>
            <w:tcW w:type="dxa" w:w="3408"/>
            <w:vAlign w:val="center"/>
          </w:tcPr>
          <w:p>
            <w:pPr>
              <w:spacing w:after="20"/>
            </w:pPr>
            <w:r/>
            <w:r>
              <w:rPr>
                <w:b w:val="0"/>
                <w:sz w:val="16"/>
              </w:rPr>
              <w:t>MRP2 activity</w:t>
            </w:r>
          </w:p>
        </w:tc>
        <w:tc>
          <w:tcPr>
            <w:tcW w:type="dxa" w:w="3408"/>
            <w:vAlign w:val="center"/>
          </w:tcPr>
          <w:p>
            <w:pPr>
              <w:spacing w:after="20"/>
            </w:pPr>
            <w:r/>
            <w:r>
              <w:rPr>
                <w:b w:val="0"/>
                <w:sz w:val="16"/>
              </w:rPr>
              <w:t>f_m = 1.0 or 0.35</w:t>
            </w:r>
          </w:p>
        </w:tc>
        <w:tc>
          <w:tcPr>
            <w:tcW w:type="dxa" w:w="3408"/>
            <w:vAlign w:val="center"/>
          </w:tcPr>
          <w:p>
            <w:pPr>
              <w:spacing w:after="20"/>
            </w:pPr>
            <w:r/>
            <w:r>
              <w:rPr>
                <w:b w:val="0"/>
                <w:sz w:val="16"/>
              </w:rPr>
              <w:t>Baseline or 65% inhibition</w:t>
            </w:r>
          </w:p>
        </w:tc>
      </w:tr>
      <w:tr>
        <w:trPr>
          <w:cantSplit/>
        </w:trPr>
        <w:tc>
          <w:tcPr>
            <w:tcW w:type="dxa" w:w="3408"/>
            <w:vAlign w:val="center"/>
          </w:tcPr>
          <w:p>
            <w:pPr>
              <w:spacing w:after="20"/>
            </w:pPr>
            <w:r/>
            <w:r>
              <w:rPr>
                <w:b w:val="0"/>
                <w:sz w:val="16"/>
              </w:rPr>
              <w:t>Obstruction</w:t>
            </w:r>
          </w:p>
        </w:tc>
        <w:tc>
          <w:tcPr>
            <w:tcW w:type="dxa" w:w="3408"/>
            <w:vAlign w:val="center"/>
          </w:tcPr>
          <w:p>
            <w:pPr>
              <w:spacing w:after="20"/>
            </w:pPr>
            <w:r/>
            <w:r>
              <w:rPr>
                <w:b w:val="0"/>
                <w:sz w:val="16"/>
              </w:rPr>
              <w:t>0.0, 0.5; LHS 0-0.75</w:t>
            </w:r>
          </w:p>
        </w:tc>
        <w:tc>
          <w:tcPr>
            <w:tcW w:type="dxa" w:w="3408"/>
            <w:vAlign w:val="center"/>
          </w:tcPr>
          <w:p>
            <w:pPr>
              <w:spacing w:after="20"/>
            </w:pPr>
            <w:r/>
            <w:r>
              <w:rPr>
                <w:b w:val="0"/>
                <w:sz w:val="16"/>
              </w:rPr>
              <w:t>Fractional velocity reduction</w:t>
            </w:r>
          </w:p>
        </w:tc>
      </w:tr>
    </w:tbl>
    <w:p>
      <w:pPr>
        <w:spacing w:after="20"/>
      </w:pPr>
    </w:p>
    <w:p>
      <w:pPr>
        <w:pStyle w:val="Heading1"/>
      </w:pPr>
      <w:r>
        <w:t>S4. Spatial transporter and disease fields</w:t>
      </w:r>
    </w:p>
    <w:p>
      <w:r>
        <w:t>The four-zone fields are dimensionless relative capacities. They are explicit hypothesis parameters, not direct compound-specific functional measurements. The ten-position mesh expands these values using the zone labels listed above. Uptake is the mean of SLC10A1, SLCO1B1, and SLCO1B3; canalicular export is the mean of ABCB11, ABCC2, and ABCB4; basolateral escape is the mean of ABCC3 and ABCC4; ductular capacity is the mean of CFTR and SLC4A2.</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vAlign w:val="center"/>
            <w:shd w:fill="1F4E79"/>
          </w:tcPr>
          <w:p>
            <w:pPr>
              <w:spacing w:after="20"/>
            </w:pPr>
            <w:r>
              <w:rPr>
                <w:color w:val="FFFFFF"/>
              </w:rPr>
            </w:r>
            <w:r>
              <w:rPr>
                <w:b/>
                <w:sz w:val="16"/>
              </w:rPr>
              <w:t>State</w:t>
            </w:r>
          </w:p>
        </w:tc>
        <w:tc>
          <w:tcPr>
            <w:tcW w:type="dxa" w:w="1704"/>
            <w:vAlign w:val="center"/>
            <w:shd w:fill="1F4E79"/>
          </w:tcPr>
          <w:p>
            <w:pPr>
              <w:spacing w:after="20"/>
            </w:pPr>
            <w:r>
              <w:rPr>
                <w:color w:val="FFFFFF"/>
              </w:rPr>
            </w:r>
            <w:r>
              <w:rPr>
                <w:b/>
                <w:sz w:val="16"/>
              </w:rPr>
              <w:t>Field</w:t>
            </w:r>
          </w:p>
        </w:tc>
        <w:tc>
          <w:tcPr>
            <w:tcW w:type="dxa" w:w="1704"/>
            <w:vAlign w:val="center"/>
            <w:shd w:fill="1F4E79"/>
          </w:tcPr>
          <w:p>
            <w:pPr>
              <w:spacing w:after="20"/>
            </w:pPr>
            <w:r>
              <w:rPr>
                <w:color w:val="FFFFFF"/>
              </w:rPr>
            </w:r>
            <w:r>
              <w:rPr>
                <w:b/>
                <w:sz w:val="16"/>
              </w:rPr>
              <w:t>Portal</w:t>
            </w:r>
          </w:p>
        </w:tc>
        <w:tc>
          <w:tcPr>
            <w:tcW w:type="dxa" w:w="1704"/>
            <w:vAlign w:val="center"/>
            <w:shd w:fill="1F4E79"/>
          </w:tcPr>
          <w:p>
            <w:pPr>
              <w:spacing w:after="20"/>
            </w:pPr>
            <w:r>
              <w:rPr>
                <w:color w:val="FFFFFF"/>
              </w:rPr>
            </w:r>
            <w:r>
              <w:rPr>
                <w:b/>
                <w:sz w:val="16"/>
              </w:rPr>
              <w:t>Periportal</w:t>
            </w:r>
          </w:p>
        </w:tc>
        <w:tc>
          <w:tcPr>
            <w:tcW w:type="dxa" w:w="1704"/>
            <w:vAlign w:val="center"/>
            <w:shd w:fill="1F4E79"/>
          </w:tcPr>
          <w:p>
            <w:pPr>
              <w:spacing w:after="20"/>
            </w:pPr>
            <w:r>
              <w:rPr>
                <w:color w:val="FFFFFF"/>
              </w:rPr>
            </w:r>
            <w:r>
              <w:rPr>
                <w:b/>
                <w:sz w:val="16"/>
              </w:rPr>
              <w:t>Mid</w:t>
            </w:r>
          </w:p>
        </w:tc>
        <w:tc>
          <w:tcPr>
            <w:tcW w:type="dxa" w:w="1704"/>
            <w:vAlign w:val="center"/>
            <w:shd w:fill="1F4E79"/>
          </w:tcPr>
          <w:p>
            <w:pPr>
              <w:spacing w:after="20"/>
            </w:pPr>
            <w:r>
              <w:rPr>
                <w:color w:val="FFFFFF"/>
              </w:rPr>
            </w:r>
            <w:r>
              <w:rPr>
                <w:b/>
                <w:sz w:val="16"/>
              </w:rPr>
              <w:t>Central</w:t>
            </w:r>
          </w:p>
        </w:tc>
      </w:tr>
      <w:tr>
        <w:trPr>
          <w:cantSplit/>
        </w:trPr>
        <w:tc>
          <w:tcPr>
            <w:tcW w:type="dxa" w:w="1704"/>
            <w:vAlign w:val="center"/>
          </w:tcPr>
          <w:p>
            <w:pPr>
              <w:spacing w:after="20"/>
            </w:pPr>
            <w:r/>
            <w:r>
              <w:rPr>
                <w:b w:val="0"/>
                <w:sz w:val="16"/>
              </w:rPr>
              <w:t>Control</w:t>
            </w:r>
          </w:p>
        </w:tc>
        <w:tc>
          <w:tcPr>
            <w:tcW w:type="dxa" w:w="1704"/>
            <w:vAlign w:val="center"/>
          </w:tcPr>
          <w:p>
            <w:pPr>
              <w:spacing w:after="20"/>
            </w:pPr>
            <w:r/>
            <w:r>
              <w:rPr>
                <w:b w:val="0"/>
                <w:sz w:val="16"/>
              </w:rPr>
              <w:t>Uptake</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0.98</w:t>
            </w:r>
          </w:p>
        </w:tc>
        <w:tc>
          <w:tcPr>
            <w:tcW w:type="dxa" w:w="1704"/>
            <w:vAlign w:val="center"/>
          </w:tcPr>
          <w:p>
            <w:pPr>
              <w:spacing w:after="20"/>
            </w:pPr>
            <w:r/>
            <w:r>
              <w:rPr>
                <w:b w:val="0"/>
                <w:sz w:val="16"/>
              </w:rPr>
              <w:t>0.95</w:t>
            </w:r>
          </w:p>
        </w:tc>
      </w:tr>
      <w:tr>
        <w:trPr>
          <w:cantSplit/>
        </w:trPr>
        <w:tc>
          <w:tcPr>
            <w:tcW w:type="dxa" w:w="1704"/>
            <w:vAlign w:val="center"/>
          </w:tcPr>
          <w:p>
            <w:pPr>
              <w:spacing w:after="20"/>
            </w:pPr>
            <w:r/>
            <w:r>
              <w:rPr>
                <w:b w:val="0"/>
                <w:sz w:val="16"/>
              </w:rPr>
              <w:t>Control</w:t>
            </w:r>
          </w:p>
        </w:tc>
        <w:tc>
          <w:tcPr>
            <w:tcW w:type="dxa" w:w="1704"/>
            <w:vAlign w:val="center"/>
          </w:tcPr>
          <w:p>
            <w:pPr>
              <w:spacing w:after="20"/>
            </w:pPr>
            <w:r/>
            <w:r>
              <w:rPr>
                <w:b w:val="0"/>
                <w:sz w:val="16"/>
              </w:rPr>
              <w:t>Canalicular</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r>
      <w:tr>
        <w:trPr>
          <w:cantSplit/>
        </w:trPr>
        <w:tc>
          <w:tcPr>
            <w:tcW w:type="dxa" w:w="1704"/>
            <w:vAlign w:val="center"/>
          </w:tcPr>
          <w:p>
            <w:pPr>
              <w:spacing w:after="20"/>
            </w:pPr>
            <w:r/>
            <w:r>
              <w:rPr>
                <w:b w:val="0"/>
                <w:sz w:val="16"/>
              </w:rPr>
              <w:t>Control</w:t>
            </w:r>
          </w:p>
        </w:tc>
        <w:tc>
          <w:tcPr>
            <w:tcW w:type="dxa" w:w="1704"/>
            <w:vAlign w:val="center"/>
          </w:tcPr>
          <w:p>
            <w:pPr>
              <w:spacing w:after="20"/>
            </w:pPr>
            <w:r/>
            <w:r>
              <w:rPr>
                <w:b w:val="0"/>
                <w:sz w:val="16"/>
              </w:rPr>
              <w:t>Escape</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1.00</w:t>
            </w:r>
          </w:p>
        </w:tc>
      </w:tr>
      <w:tr>
        <w:trPr>
          <w:cantSplit/>
        </w:trPr>
        <w:tc>
          <w:tcPr>
            <w:tcW w:type="dxa" w:w="1704"/>
            <w:vAlign w:val="center"/>
          </w:tcPr>
          <w:p>
            <w:pPr>
              <w:spacing w:after="20"/>
            </w:pPr>
            <w:r/>
            <w:r>
              <w:rPr>
                <w:b w:val="0"/>
                <w:sz w:val="16"/>
              </w:rPr>
              <w:t>MASL</w:t>
            </w:r>
          </w:p>
        </w:tc>
        <w:tc>
          <w:tcPr>
            <w:tcW w:type="dxa" w:w="1704"/>
            <w:vAlign w:val="center"/>
          </w:tcPr>
          <w:p>
            <w:pPr>
              <w:spacing w:after="20"/>
            </w:pPr>
            <w:r/>
            <w:r>
              <w:rPr>
                <w:b w:val="0"/>
                <w:sz w:val="16"/>
              </w:rPr>
              <w:t>Uptake</w:t>
            </w:r>
          </w:p>
        </w:tc>
        <w:tc>
          <w:tcPr>
            <w:tcW w:type="dxa" w:w="1704"/>
            <w:vAlign w:val="center"/>
          </w:tcPr>
          <w:p>
            <w:pPr>
              <w:spacing w:after="20"/>
            </w:pPr>
            <w:r/>
            <w:r>
              <w:rPr>
                <w:b w:val="0"/>
                <w:sz w:val="16"/>
              </w:rPr>
              <w:t>0.98</w:t>
            </w:r>
          </w:p>
        </w:tc>
        <w:tc>
          <w:tcPr>
            <w:tcW w:type="dxa" w:w="1704"/>
            <w:vAlign w:val="center"/>
          </w:tcPr>
          <w:p>
            <w:pPr>
              <w:spacing w:after="20"/>
            </w:pPr>
            <w:r/>
            <w:r>
              <w:rPr>
                <w:b w:val="0"/>
                <w:sz w:val="16"/>
              </w:rPr>
              <w:t>0.96</w:t>
            </w:r>
          </w:p>
        </w:tc>
        <w:tc>
          <w:tcPr>
            <w:tcW w:type="dxa" w:w="1704"/>
            <w:vAlign w:val="center"/>
          </w:tcPr>
          <w:p>
            <w:pPr>
              <w:spacing w:after="20"/>
            </w:pPr>
            <w:r/>
            <w:r>
              <w:rPr>
                <w:b w:val="0"/>
                <w:sz w:val="16"/>
              </w:rPr>
              <w:t>0.92</w:t>
            </w:r>
          </w:p>
        </w:tc>
        <w:tc>
          <w:tcPr>
            <w:tcW w:type="dxa" w:w="1704"/>
            <w:vAlign w:val="center"/>
          </w:tcPr>
          <w:p>
            <w:pPr>
              <w:spacing w:after="20"/>
            </w:pPr>
            <w:r/>
            <w:r>
              <w:rPr>
                <w:b w:val="0"/>
                <w:sz w:val="16"/>
              </w:rPr>
              <w:t>0.88</w:t>
            </w:r>
          </w:p>
        </w:tc>
      </w:tr>
      <w:tr>
        <w:trPr>
          <w:cantSplit/>
        </w:trPr>
        <w:tc>
          <w:tcPr>
            <w:tcW w:type="dxa" w:w="1704"/>
            <w:vAlign w:val="center"/>
          </w:tcPr>
          <w:p>
            <w:pPr>
              <w:spacing w:after="20"/>
            </w:pPr>
            <w:r/>
            <w:r>
              <w:rPr>
                <w:b w:val="0"/>
                <w:sz w:val="16"/>
              </w:rPr>
              <w:t>MASL</w:t>
            </w:r>
          </w:p>
        </w:tc>
        <w:tc>
          <w:tcPr>
            <w:tcW w:type="dxa" w:w="1704"/>
            <w:vAlign w:val="center"/>
          </w:tcPr>
          <w:p>
            <w:pPr>
              <w:spacing w:after="20"/>
            </w:pPr>
            <w:r/>
            <w:r>
              <w:rPr>
                <w:b w:val="0"/>
                <w:sz w:val="16"/>
              </w:rPr>
              <w:t>Canalicular</w:t>
            </w:r>
          </w:p>
        </w:tc>
        <w:tc>
          <w:tcPr>
            <w:tcW w:type="dxa" w:w="1704"/>
            <w:vAlign w:val="center"/>
          </w:tcPr>
          <w:p>
            <w:pPr>
              <w:spacing w:after="20"/>
            </w:pPr>
            <w:r/>
            <w:r>
              <w:rPr>
                <w:b w:val="0"/>
                <w:sz w:val="16"/>
              </w:rPr>
              <w:t>1.00</w:t>
            </w:r>
          </w:p>
        </w:tc>
        <w:tc>
          <w:tcPr>
            <w:tcW w:type="dxa" w:w="1704"/>
            <w:vAlign w:val="center"/>
          </w:tcPr>
          <w:p>
            <w:pPr>
              <w:spacing w:after="20"/>
            </w:pPr>
            <w:r/>
            <w:r>
              <w:rPr>
                <w:b w:val="0"/>
                <w:sz w:val="16"/>
              </w:rPr>
              <w:t>0.97</w:t>
            </w:r>
          </w:p>
        </w:tc>
        <w:tc>
          <w:tcPr>
            <w:tcW w:type="dxa" w:w="1704"/>
            <w:vAlign w:val="center"/>
          </w:tcPr>
          <w:p>
            <w:pPr>
              <w:spacing w:after="20"/>
            </w:pPr>
            <w:r/>
            <w:r>
              <w:rPr>
                <w:b w:val="0"/>
                <w:sz w:val="16"/>
              </w:rPr>
              <w:t>0.92</w:t>
            </w:r>
          </w:p>
        </w:tc>
        <w:tc>
          <w:tcPr>
            <w:tcW w:type="dxa" w:w="1704"/>
            <w:vAlign w:val="center"/>
          </w:tcPr>
          <w:p>
            <w:pPr>
              <w:spacing w:after="20"/>
            </w:pPr>
            <w:r/>
            <w:r>
              <w:rPr>
                <w:b w:val="0"/>
                <w:sz w:val="16"/>
              </w:rPr>
              <w:t>0.88</w:t>
            </w:r>
          </w:p>
        </w:tc>
      </w:tr>
      <w:tr>
        <w:trPr>
          <w:cantSplit/>
        </w:trPr>
        <w:tc>
          <w:tcPr>
            <w:tcW w:type="dxa" w:w="1704"/>
            <w:vAlign w:val="center"/>
          </w:tcPr>
          <w:p>
            <w:pPr>
              <w:spacing w:after="20"/>
            </w:pPr>
            <w:r/>
            <w:r>
              <w:rPr>
                <w:b w:val="0"/>
                <w:sz w:val="16"/>
              </w:rPr>
              <w:t>MASL</w:t>
            </w:r>
          </w:p>
        </w:tc>
        <w:tc>
          <w:tcPr>
            <w:tcW w:type="dxa" w:w="1704"/>
            <w:vAlign w:val="center"/>
          </w:tcPr>
          <w:p>
            <w:pPr>
              <w:spacing w:after="20"/>
            </w:pPr>
            <w:r/>
            <w:r>
              <w:rPr>
                <w:b w:val="0"/>
                <w:sz w:val="16"/>
              </w:rPr>
              <w:t>Escape</w:t>
            </w:r>
          </w:p>
        </w:tc>
        <w:tc>
          <w:tcPr>
            <w:tcW w:type="dxa" w:w="1704"/>
            <w:vAlign w:val="center"/>
          </w:tcPr>
          <w:p>
            <w:pPr>
              <w:spacing w:after="20"/>
            </w:pPr>
            <w:r/>
            <w:r>
              <w:rPr>
                <w:b w:val="0"/>
                <w:sz w:val="16"/>
              </w:rPr>
              <w:t>1.05</w:t>
            </w:r>
          </w:p>
        </w:tc>
        <w:tc>
          <w:tcPr>
            <w:tcW w:type="dxa" w:w="1704"/>
            <w:vAlign w:val="center"/>
          </w:tcPr>
          <w:p>
            <w:pPr>
              <w:spacing w:after="20"/>
            </w:pPr>
            <w:r/>
            <w:r>
              <w:rPr>
                <w:b w:val="0"/>
                <w:sz w:val="16"/>
              </w:rPr>
              <w:t>1.08</w:t>
            </w:r>
          </w:p>
        </w:tc>
        <w:tc>
          <w:tcPr>
            <w:tcW w:type="dxa" w:w="1704"/>
            <w:vAlign w:val="center"/>
          </w:tcPr>
          <w:p>
            <w:pPr>
              <w:spacing w:after="20"/>
            </w:pPr>
            <w:r/>
            <w:r>
              <w:rPr>
                <w:b w:val="0"/>
                <w:sz w:val="16"/>
              </w:rPr>
              <w:t>1.12</w:t>
            </w:r>
          </w:p>
        </w:tc>
        <w:tc>
          <w:tcPr>
            <w:tcW w:type="dxa" w:w="1704"/>
            <w:vAlign w:val="center"/>
          </w:tcPr>
          <w:p>
            <w:pPr>
              <w:spacing w:after="20"/>
            </w:pPr>
            <w:r/>
            <w:r>
              <w:rPr>
                <w:b w:val="0"/>
                <w:sz w:val="16"/>
              </w:rPr>
              <w:t>1.16</w:t>
            </w:r>
          </w:p>
        </w:tc>
      </w:tr>
      <w:tr>
        <w:trPr>
          <w:cantSplit/>
        </w:trPr>
        <w:tc>
          <w:tcPr>
            <w:tcW w:type="dxa" w:w="1704"/>
            <w:vAlign w:val="center"/>
          </w:tcPr>
          <w:p>
            <w:pPr>
              <w:spacing w:after="20"/>
            </w:pPr>
            <w:r/>
            <w:r>
              <w:rPr>
                <w:b w:val="0"/>
                <w:sz w:val="16"/>
              </w:rPr>
              <w:t>MASH</w:t>
            </w:r>
          </w:p>
        </w:tc>
        <w:tc>
          <w:tcPr>
            <w:tcW w:type="dxa" w:w="1704"/>
            <w:vAlign w:val="center"/>
          </w:tcPr>
          <w:p>
            <w:pPr>
              <w:spacing w:after="20"/>
            </w:pPr>
            <w:r/>
            <w:r>
              <w:rPr>
                <w:b w:val="0"/>
                <w:sz w:val="16"/>
              </w:rPr>
              <w:t>Uptake</w:t>
            </w:r>
          </w:p>
        </w:tc>
        <w:tc>
          <w:tcPr>
            <w:tcW w:type="dxa" w:w="1704"/>
            <w:vAlign w:val="center"/>
          </w:tcPr>
          <w:p>
            <w:pPr>
              <w:spacing w:after="20"/>
            </w:pPr>
            <w:r/>
            <w:r>
              <w:rPr>
                <w:b w:val="0"/>
                <w:sz w:val="16"/>
              </w:rPr>
              <w:t>0.95</w:t>
            </w:r>
          </w:p>
        </w:tc>
        <w:tc>
          <w:tcPr>
            <w:tcW w:type="dxa" w:w="1704"/>
            <w:vAlign w:val="center"/>
          </w:tcPr>
          <w:p>
            <w:pPr>
              <w:spacing w:after="20"/>
            </w:pPr>
            <w:r/>
            <w:r>
              <w:rPr>
                <w:b w:val="0"/>
                <w:sz w:val="16"/>
              </w:rPr>
              <w:t>0.90</w:t>
            </w:r>
          </w:p>
        </w:tc>
        <w:tc>
          <w:tcPr>
            <w:tcW w:type="dxa" w:w="1704"/>
            <w:vAlign w:val="center"/>
          </w:tcPr>
          <w:p>
            <w:pPr>
              <w:spacing w:after="20"/>
            </w:pPr>
            <w:r/>
            <w:r>
              <w:rPr>
                <w:b w:val="0"/>
                <w:sz w:val="16"/>
              </w:rPr>
              <w:t>0.82</w:t>
            </w:r>
          </w:p>
        </w:tc>
        <w:tc>
          <w:tcPr>
            <w:tcW w:type="dxa" w:w="1704"/>
            <w:vAlign w:val="center"/>
          </w:tcPr>
          <w:p>
            <w:pPr>
              <w:spacing w:after="20"/>
            </w:pPr>
            <w:r/>
            <w:r>
              <w:rPr>
                <w:b w:val="0"/>
                <w:sz w:val="16"/>
              </w:rPr>
              <w:t>0.74</w:t>
            </w:r>
          </w:p>
        </w:tc>
      </w:tr>
      <w:tr>
        <w:trPr>
          <w:cantSplit/>
        </w:trPr>
        <w:tc>
          <w:tcPr>
            <w:tcW w:type="dxa" w:w="1704"/>
            <w:vAlign w:val="center"/>
          </w:tcPr>
          <w:p>
            <w:pPr>
              <w:spacing w:after="20"/>
            </w:pPr>
            <w:r/>
            <w:r>
              <w:rPr>
                <w:b w:val="0"/>
                <w:sz w:val="16"/>
              </w:rPr>
              <w:t>MASH</w:t>
            </w:r>
          </w:p>
        </w:tc>
        <w:tc>
          <w:tcPr>
            <w:tcW w:type="dxa" w:w="1704"/>
            <w:vAlign w:val="center"/>
          </w:tcPr>
          <w:p>
            <w:pPr>
              <w:spacing w:after="20"/>
            </w:pPr>
            <w:r/>
            <w:r>
              <w:rPr>
                <w:b w:val="0"/>
                <w:sz w:val="16"/>
              </w:rPr>
              <w:t>Canalicular</w:t>
            </w:r>
          </w:p>
        </w:tc>
        <w:tc>
          <w:tcPr>
            <w:tcW w:type="dxa" w:w="1704"/>
            <w:vAlign w:val="center"/>
          </w:tcPr>
          <w:p>
            <w:pPr>
              <w:spacing w:after="20"/>
            </w:pPr>
            <w:r/>
            <w:r>
              <w:rPr>
                <w:b w:val="0"/>
                <w:sz w:val="16"/>
              </w:rPr>
              <w:t>1.00</w:t>
            </w:r>
          </w:p>
        </w:tc>
        <w:tc>
          <w:tcPr>
            <w:tcW w:type="dxa" w:w="1704"/>
            <w:vAlign w:val="center"/>
          </w:tcPr>
          <w:p>
            <w:pPr>
              <w:spacing w:after="20"/>
            </w:pPr>
            <w:r/>
            <w:r>
              <w:rPr>
                <w:b w:val="0"/>
                <w:sz w:val="16"/>
              </w:rPr>
              <w:t>0.90</w:t>
            </w:r>
          </w:p>
        </w:tc>
        <w:tc>
          <w:tcPr>
            <w:tcW w:type="dxa" w:w="1704"/>
            <w:vAlign w:val="center"/>
          </w:tcPr>
          <w:p>
            <w:pPr>
              <w:spacing w:after="20"/>
            </w:pPr>
            <w:r/>
            <w:r>
              <w:rPr>
                <w:b w:val="0"/>
                <w:sz w:val="16"/>
              </w:rPr>
              <w:t>0.78</w:t>
            </w:r>
          </w:p>
        </w:tc>
        <w:tc>
          <w:tcPr>
            <w:tcW w:type="dxa" w:w="1704"/>
            <w:vAlign w:val="center"/>
          </w:tcPr>
          <w:p>
            <w:pPr>
              <w:spacing w:after="20"/>
            </w:pPr>
            <w:r/>
            <w:r>
              <w:rPr>
                <w:b w:val="0"/>
                <w:sz w:val="16"/>
              </w:rPr>
              <w:t>0.68</w:t>
            </w:r>
          </w:p>
        </w:tc>
      </w:tr>
      <w:tr>
        <w:trPr>
          <w:cantSplit/>
        </w:trPr>
        <w:tc>
          <w:tcPr>
            <w:tcW w:type="dxa" w:w="1704"/>
            <w:vAlign w:val="center"/>
          </w:tcPr>
          <w:p>
            <w:pPr>
              <w:spacing w:after="20"/>
            </w:pPr>
            <w:r/>
            <w:r>
              <w:rPr>
                <w:b w:val="0"/>
                <w:sz w:val="16"/>
              </w:rPr>
              <w:t>MASH</w:t>
            </w:r>
          </w:p>
        </w:tc>
        <w:tc>
          <w:tcPr>
            <w:tcW w:type="dxa" w:w="1704"/>
            <w:vAlign w:val="center"/>
          </w:tcPr>
          <w:p>
            <w:pPr>
              <w:spacing w:after="20"/>
            </w:pPr>
            <w:r/>
            <w:r>
              <w:rPr>
                <w:b w:val="0"/>
                <w:sz w:val="16"/>
              </w:rPr>
              <w:t>Escape</w:t>
            </w:r>
          </w:p>
        </w:tc>
        <w:tc>
          <w:tcPr>
            <w:tcW w:type="dxa" w:w="1704"/>
            <w:vAlign w:val="center"/>
          </w:tcPr>
          <w:p>
            <w:pPr>
              <w:spacing w:after="20"/>
            </w:pPr>
            <w:r/>
            <w:r>
              <w:rPr>
                <w:b w:val="0"/>
                <w:sz w:val="16"/>
              </w:rPr>
              <w:t>1.10</w:t>
            </w:r>
          </w:p>
        </w:tc>
        <w:tc>
          <w:tcPr>
            <w:tcW w:type="dxa" w:w="1704"/>
            <w:vAlign w:val="center"/>
          </w:tcPr>
          <w:p>
            <w:pPr>
              <w:spacing w:after="20"/>
            </w:pPr>
            <w:r/>
            <w:r>
              <w:rPr>
                <w:b w:val="0"/>
                <w:sz w:val="16"/>
              </w:rPr>
              <w:t>1.20</w:t>
            </w:r>
          </w:p>
        </w:tc>
        <w:tc>
          <w:tcPr>
            <w:tcW w:type="dxa" w:w="1704"/>
            <w:vAlign w:val="center"/>
          </w:tcPr>
          <w:p>
            <w:pPr>
              <w:spacing w:after="20"/>
            </w:pPr>
            <w:r/>
            <w:r>
              <w:rPr>
                <w:b w:val="0"/>
                <w:sz w:val="16"/>
              </w:rPr>
              <w:t>1.35</w:t>
            </w:r>
          </w:p>
        </w:tc>
        <w:tc>
          <w:tcPr>
            <w:tcW w:type="dxa" w:w="1704"/>
            <w:vAlign w:val="center"/>
          </w:tcPr>
          <w:p>
            <w:pPr>
              <w:spacing w:after="20"/>
            </w:pPr>
            <w:r/>
            <w:r>
              <w:rPr>
                <w:b w:val="0"/>
                <w:sz w:val="16"/>
              </w:rPr>
              <w:t>1.50</w:t>
            </w:r>
          </w:p>
        </w:tc>
      </w:tr>
    </w:tbl>
    <w:p>
      <w:pPr>
        <w:spacing w:after="20"/>
      </w:pPr>
    </w:p>
    <w:p>
      <w:r>
        <w:t>The individual gene-level fields, including ABCB11, ABCC2, ABCB4, CFTR, and SLC4A2, are preserved in zonated_transport_genes.py. The control, MASL, and MASH metabolism factors are respectively [1.00, 1.05, 1.00, 0.95], [0.95, 0.92, 0.88, 0.82], and [0.90, 0.85, 0.78, 0.68] from portal to central. Injury factors are [1.00, 1.00, 1.00, 1.00], [1.00, 1.05, 1.10, 1.15], and [1.05, 1.15, 1.30, 1.45].</w:t>
      </w:r>
    </w:p>
    <w:p>
      <w:pPr>
        <w:pStyle w:val="Heading1"/>
      </w:pPr>
      <w:r>
        <w:t>S5. Michael input profiles</w:t>
      </w:r>
    </w:p>
    <w:p>
      <w:r>
        <w:t>The full ten-row input arrays are embedded in couple_michael_bileflow.py. A, K, epithelial volume fraction e, and connectivity c are retained as source inputs for the normalized carrier field. The source file is the authoritative machine-readable parameter record; the summary below identifies the implementation and its use.</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1F4E79"/>
          </w:tcPr>
          <w:p>
            <w:pPr>
              <w:spacing w:after="20"/>
            </w:pPr>
            <w:r>
              <w:rPr>
                <w:color w:val="FFFFFF"/>
              </w:rPr>
            </w:r>
            <w:r>
              <w:rPr>
                <w:b/>
                <w:sz w:val="16"/>
              </w:rPr>
              <w:t>Input</w:t>
            </w:r>
          </w:p>
        </w:tc>
        <w:tc>
          <w:tcPr>
            <w:tcW w:type="dxa" w:w="2556"/>
            <w:vAlign w:val="center"/>
            <w:shd w:fill="1F4E79"/>
          </w:tcPr>
          <w:p>
            <w:pPr>
              <w:spacing w:after="20"/>
            </w:pPr>
            <w:r>
              <w:rPr>
                <w:color w:val="FFFFFF"/>
              </w:rPr>
            </w:r>
            <w:r>
              <w:rPr>
                <w:b/>
                <w:sz w:val="16"/>
              </w:rPr>
              <w:t>Normal control</w:t>
            </w:r>
          </w:p>
        </w:tc>
        <w:tc>
          <w:tcPr>
            <w:tcW w:type="dxa" w:w="2556"/>
            <w:vAlign w:val="center"/>
            <w:shd w:fill="1F4E79"/>
          </w:tcPr>
          <w:p>
            <w:pPr>
              <w:spacing w:after="20"/>
            </w:pPr>
            <w:r>
              <w:rPr>
                <w:color w:val="FFFFFF"/>
              </w:rPr>
            </w:r>
            <w:r>
              <w:rPr>
                <w:b/>
                <w:sz w:val="16"/>
              </w:rPr>
              <w:t>Steatosis</w:t>
            </w:r>
          </w:p>
        </w:tc>
        <w:tc>
          <w:tcPr>
            <w:tcW w:type="dxa" w:w="2556"/>
            <w:vAlign w:val="center"/>
            <w:shd w:fill="1F4E79"/>
          </w:tcPr>
          <w:p>
            <w:pPr>
              <w:spacing w:after="20"/>
            </w:pPr>
            <w:r>
              <w:rPr>
                <w:color w:val="FFFFFF"/>
              </w:rPr>
            </w:r>
            <w:r>
              <w:rPr>
                <w:b/>
                <w:sz w:val="16"/>
              </w:rPr>
              <w:t>Use</w:t>
            </w:r>
          </w:p>
        </w:tc>
      </w:tr>
      <w:tr>
        <w:trPr>
          <w:cantSplit/>
        </w:trPr>
        <w:tc>
          <w:tcPr>
            <w:tcW w:type="dxa" w:w="2556"/>
            <w:vAlign w:val="center"/>
          </w:tcPr>
          <w:p>
            <w:pPr>
              <w:spacing w:after="20"/>
            </w:pPr>
            <w:r/>
            <w:r>
              <w:rPr>
                <w:b w:val="0"/>
                <w:sz w:val="16"/>
              </w:rPr>
              <w:t>Rows</w:t>
            </w:r>
          </w:p>
        </w:tc>
        <w:tc>
          <w:tcPr>
            <w:tcW w:type="dxa" w:w="2556"/>
            <w:vAlign w:val="center"/>
          </w:tcPr>
          <w:p>
            <w:pPr>
              <w:spacing w:after="20"/>
            </w:pPr>
            <w:r/>
            <w:r>
              <w:rPr>
                <w:b w:val="0"/>
                <w:sz w:val="16"/>
              </w:rPr>
              <w:t>10 CV-to-PV positions</w:t>
            </w:r>
          </w:p>
        </w:tc>
        <w:tc>
          <w:tcPr>
            <w:tcW w:type="dxa" w:w="2556"/>
            <w:vAlign w:val="center"/>
          </w:tcPr>
          <w:p>
            <w:pPr>
              <w:spacing w:after="20"/>
            </w:pPr>
            <w:r/>
            <w:r>
              <w:rPr>
                <w:b w:val="0"/>
                <w:sz w:val="16"/>
              </w:rPr>
              <w:t>10 CV-to-PV positions</w:t>
            </w:r>
          </w:p>
        </w:tc>
        <w:tc>
          <w:tcPr>
            <w:tcW w:type="dxa" w:w="2556"/>
            <w:vAlign w:val="center"/>
          </w:tcPr>
          <w:p>
            <w:pPr>
              <w:spacing w:after="20"/>
            </w:pPr>
            <w:r/>
            <w:r>
              <w:rPr>
                <w:b w:val="0"/>
                <w:sz w:val="16"/>
              </w:rPr>
              <w:t>Reduced spatial carrier</w:t>
            </w:r>
          </w:p>
        </w:tc>
      </w:tr>
      <w:tr>
        <w:trPr>
          <w:cantSplit/>
        </w:trPr>
        <w:tc>
          <w:tcPr>
            <w:tcW w:type="dxa" w:w="2556"/>
            <w:vAlign w:val="center"/>
          </w:tcPr>
          <w:p>
            <w:pPr>
              <w:spacing w:after="20"/>
            </w:pPr>
            <w:r/>
            <w:r>
              <w:rPr>
                <w:b w:val="0"/>
                <w:sz w:val="16"/>
              </w:rPr>
              <w:t>A</w:t>
            </w:r>
          </w:p>
        </w:tc>
        <w:tc>
          <w:tcPr>
            <w:tcW w:type="dxa" w:w="2556"/>
            <w:vAlign w:val="center"/>
          </w:tcPr>
          <w:p>
            <w:pPr>
              <w:spacing w:after="20"/>
            </w:pPr>
            <w:r/>
            <w:r>
              <w:rPr>
                <w:b w:val="0"/>
                <w:sz w:val="16"/>
              </w:rPr>
              <w:t>Source array in code</w:t>
            </w:r>
          </w:p>
        </w:tc>
        <w:tc>
          <w:tcPr>
            <w:tcW w:type="dxa" w:w="2556"/>
            <w:vAlign w:val="center"/>
          </w:tcPr>
          <w:p>
            <w:pPr>
              <w:spacing w:after="20"/>
            </w:pPr>
            <w:r/>
            <w:r>
              <w:rPr>
                <w:b w:val="0"/>
                <w:sz w:val="16"/>
              </w:rPr>
              <w:t>Source array in code</w:t>
            </w:r>
          </w:p>
        </w:tc>
        <w:tc>
          <w:tcPr>
            <w:tcW w:type="dxa" w:w="2556"/>
            <w:vAlign w:val="center"/>
          </w:tcPr>
          <w:p>
            <w:pPr>
              <w:spacing w:after="20"/>
            </w:pPr>
            <w:r/>
            <w:r>
              <w:rPr>
                <w:b w:val="0"/>
                <w:sz w:val="16"/>
              </w:rPr>
              <w:t>Conductance numerator</w:t>
            </w:r>
          </w:p>
        </w:tc>
      </w:tr>
      <w:tr>
        <w:trPr>
          <w:cantSplit/>
        </w:trPr>
        <w:tc>
          <w:tcPr>
            <w:tcW w:type="dxa" w:w="2556"/>
            <w:vAlign w:val="center"/>
          </w:tcPr>
          <w:p>
            <w:pPr>
              <w:spacing w:after="20"/>
            </w:pPr>
            <w:r/>
            <w:r>
              <w:rPr>
                <w:b w:val="0"/>
                <w:sz w:val="16"/>
              </w:rPr>
              <w:t>K</w:t>
            </w:r>
          </w:p>
        </w:tc>
        <w:tc>
          <w:tcPr>
            <w:tcW w:type="dxa" w:w="2556"/>
            <w:vAlign w:val="center"/>
          </w:tcPr>
          <w:p>
            <w:pPr>
              <w:spacing w:after="20"/>
            </w:pPr>
            <w:r/>
            <w:r>
              <w:rPr>
                <w:b w:val="0"/>
                <w:sz w:val="16"/>
              </w:rPr>
              <w:t>Source array in code</w:t>
            </w:r>
          </w:p>
        </w:tc>
        <w:tc>
          <w:tcPr>
            <w:tcW w:type="dxa" w:w="2556"/>
            <w:vAlign w:val="center"/>
          </w:tcPr>
          <w:p>
            <w:pPr>
              <w:spacing w:after="20"/>
            </w:pPr>
            <w:r/>
            <w:r>
              <w:rPr>
                <w:b w:val="0"/>
                <w:sz w:val="16"/>
              </w:rPr>
              <w:t>Source array in code</w:t>
            </w:r>
          </w:p>
        </w:tc>
        <w:tc>
          <w:tcPr>
            <w:tcW w:type="dxa" w:w="2556"/>
            <w:vAlign w:val="center"/>
          </w:tcPr>
          <w:p>
            <w:pPr>
              <w:spacing w:after="20"/>
            </w:pPr>
            <w:r/>
            <w:r>
              <w:rPr>
                <w:b w:val="0"/>
                <w:sz w:val="16"/>
              </w:rPr>
              <w:t>Conductance denominator</w:t>
            </w:r>
          </w:p>
        </w:tc>
      </w:tr>
      <w:tr>
        <w:trPr>
          <w:cantSplit/>
        </w:trPr>
        <w:tc>
          <w:tcPr>
            <w:tcW w:type="dxa" w:w="2556"/>
            <w:vAlign w:val="center"/>
          </w:tcPr>
          <w:p>
            <w:pPr>
              <w:spacing w:after="20"/>
            </w:pPr>
            <w:r/>
            <w:r>
              <w:rPr>
                <w:b w:val="0"/>
                <w:sz w:val="16"/>
              </w:rPr>
              <w:t>e</w:t>
            </w:r>
          </w:p>
        </w:tc>
        <w:tc>
          <w:tcPr>
            <w:tcW w:type="dxa" w:w="2556"/>
            <w:vAlign w:val="center"/>
          </w:tcPr>
          <w:p>
            <w:pPr>
              <w:spacing w:after="20"/>
            </w:pPr>
            <w:r/>
            <w:r>
              <w:rPr>
                <w:b w:val="0"/>
                <w:sz w:val="16"/>
              </w:rPr>
              <w:t>0.0310-0.0419</w:t>
            </w:r>
          </w:p>
        </w:tc>
        <w:tc>
          <w:tcPr>
            <w:tcW w:type="dxa" w:w="2556"/>
            <w:vAlign w:val="center"/>
          </w:tcPr>
          <w:p>
            <w:pPr>
              <w:spacing w:after="20"/>
            </w:pPr>
            <w:r/>
            <w:r>
              <w:rPr>
                <w:b w:val="0"/>
                <w:sz w:val="16"/>
              </w:rPr>
              <w:t>0.00287-0.0411</w:t>
            </w:r>
          </w:p>
        </w:tc>
        <w:tc>
          <w:tcPr>
            <w:tcW w:type="dxa" w:w="2556"/>
            <w:vAlign w:val="center"/>
          </w:tcPr>
          <w:p>
            <w:pPr>
              <w:spacing w:after="20"/>
            </w:pPr>
            <w:r/>
            <w:r>
              <w:rPr>
                <w:b w:val="0"/>
                <w:sz w:val="16"/>
              </w:rPr>
              <w:t>Velocity normalization</w:t>
            </w:r>
          </w:p>
        </w:tc>
      </w:tr>
      <w:tr>
        <w:trPr>
          <w:cantSplit/>
        </w:trPr>
        <w:tc>
          <w:tcPr>
            <w:tcW w:type="dxa" w:w="2556"/>
            <w:vAlign w:val="center"/>
          </w:tcPr>
          <w:p>
            <w:pPr>
              <w:spacing w:after="20"/>
            </w:pPr>
            <w:r/>
            <w:r>
              <w:rPr>
                <w:b w:val="0"/>
                <w:sz w:val="16"/>
              </w:rPr>
              <w:t>Connectivity c</w:t>
            </w:r>
          </w:p>
        </w:tc>
        <w:tc>
          <w:tcPr>
            <w:tcW w:type="dxa" w:w="2556"/>
            <w:vAlign w:val="center"/>
          </w:tcPr>
          <w:p>
            <w:pPr>
              <w:spacing w:after="20"/>
            </w:pPr>
            <w:r/>
            <w:r>
              <w:rPr>
                <w:b w:val="0"/>
                <w:sz w:val="16"/>
              </w:rPr>
              <w:t>0.7719-0.9824</w:t>
            </w:r>
          </w:p>
        </w:tc>
        <w:tc>
          <w:tcPr>
            <w:tcW w:type="dxa" w:w="2556"/>
            <w:vAlign w:val="center"/>
          </w:tcPr>
          <w:p>
            <w:pPr>
              <w:spacing w:after="20"/>
            </w:pPr>
            <w:r/>
            <w:r>
              <w:rPr>
                <w:b w:val="0"/>
                <w:sz w:val="16"/>
              </w:rPr>
              <w:t>0.0100-0.9436</w:t>
            </w:r>
          </w:p>
        </w:tc>
        <w:tc>
          <w:tcPr>
            <w:tcW w:type="dxa" w:w="2556"/>
            <w:vAlign w:val="center"/>
          </w:tcPr>
          <w:p>
            <w:pPr>
              <w:spacing w:after="20"/>
            </w:pPr>
            <w:r/>
            <w:r>
              <w:rPr>
                <w:b w:val="0"/>
                <w:sz w:val="16"/>
              </w:rPr>
              <w:t>Velocity weighting</w:t>
            </w:r>
          </w:p>
        </w:tc>
      </w:tr>
      <w:tr>
        <w:trPr>
          <w:cantSplit/>
        </w:trPr>
        <w:tc>
          <w:tcPr>
            <w:tcW w:type="dxa" w:w="2556"/>
            <w:vAlign w:val="center"/>
          </w:tcPr>
          <w:p>
            <w:pPr>
              <w:spacing w:after="20"/>
            </w:pPr>
            <w:r/>
            <w:r>
              <w:rPr>
                <w:b w:val="0"/>
                <w:sz w:val="16"/>
              </w:rPr>
              <w:t>Velocity scaling</w:t>
            </w:r>
          </w:p>
        </w:tc>
        <w:tc>
          <w:tcPr>
            <w:tcW w:type="dxa" w:w="2556"/>
            <w:vAlign w:val="center"/>
          </w:tcPr>
          <w:p>
            <w:pPr>
              <w:spacing w:after="20"/>
            </w:pPr>
            <w:r/>
            <w:r>
              <w:rPr>
                <w:b w:val="0"/>
                <w:sz w:val="16"/>
              </w:rPr>
              <w:t>median-normalized</w:t>
            </w:r>
          </w:p>
        </w:tc>
        <w:tc>
          <w:tcPr>
            <w:tcW w:type="dxa" w:w="2556"/>
            <w:vAlign w:val="center"/>
          </w:tcPr>
          <w:p>
            <w:pPr>
              <w:spacing w:after="20"/>
            </w:pPr>
            <w:r/>
            <w:r>
              <w:rPr>
                <w:b w:val="0"/>
                <w:sz w:val="16"/>
              </w:rPr>
              <w:t>median-normalized</w:t>
            </w:r>
          </w:p>
        </w:tc>
        <w:tc>
          <w:tcPr>
            <w:tcW w:type="dxa" w:w="2556"/>
            <w:vAlign w:val="center"/>
          </w:tcPr>
          <w:p>
            <w:pPr>
              <w:spacing w:after="20"/>
            </w:pPr>
            <w:r/>
            <w:r>
              <w:rPr>
                <w:b w:val="0"/>
                <w:sz w:val="16"/>
              </w:rPr>
              <w:t>Additional obstruction multiplier</w:t>
            </w:r>
          </w:p>
        </w:tc>
      </w:tr>
    </w:tbl>
    <w:p>
      <w:pPr>
        <w:spacing w:after="20"/>
      </w:pPr>
    </w:p>
    <w:p>
      <w:pPr>
        <w:pStyle w:val="Heading2"/>
      </w:pPr>
      <w:r>
        <w:t>Normal-control profile exact values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vAlign w:val="center"/>
            <w:shd w:fill="1F4E79"/>
          </w:tcPr>
          <w:p>
            <w:pPr>
              <w:spacing w:after="20"/>
            </w:pPr>
            <w:r>
              <w:rPr>
                <w:color w:val="FFFFFF"/>
              </w:rPr>
            </w:r>
            <w:r>
              <w:rPr>
                <w:b/>
                <w:sz w:val="14"/>
              </w:rPr>
              <w:t>Position</w:t>
            </w:r>
          </w:p>
        </w:tc>
        <w:tc>
          <w:tcPr>
            <w:tcW w:type="dxa" w:w="2045"/>
            <w:vAlign w:val="center"/>
            <w:shd w:fill="1F4E79"/>
          </w:tcPr>
          <w:p>
            <w:pPr>
              <w:spacing w:after="20"/>
            </w:pPr>
            <w:r>
              <w:rPr>
                <w:color w:val="FFFFFF"/>
              </w:rPr>
            </w:r>
            <w:r>
              <w:rPr>
                <w:b/>
                <w:sz w:val="14"/>
              </w:rPr>
              <w:t>A</w:t>
            </w:r>
          </w:p>
        </w:tc>
        <w:tc>
          <w:tcPr>
            <w:tcW w:type="dxa" w:w="2045"/>
            <w:vAlign w:val="center"/>
            <w:shd w:fill="1F4E79"/>
          </w:tcPr>
          <w:p>
            <w:pPr>
              <w:spacing w:after="20"/>
            </w:pPr>
            <w:r>
              <w:rPr>
                <w:color w:val="FFFFFF"/>
              </w:rPr>
            </w:r>
            <w:r>
              <w:rPr>
                <w:b/>
                <w:sz w:val="14"/>
              </w:rPr>
              <w:t>K</w:t>
            </w:r>
          </w:p>
        </w:tc>
        <w:tc>
          <w:tcPr>
            <w:tcW w:type="dxa" w:w="2045"/>
            <w:vAlign w:val="center"/>
            <w:shd w:fill="1F4E79"/>
          </w:tcPr>
          <w:p>
            <w:pPr>
              <w:spacing w:after="20"/>
            </w:pPr>
            <w:r>
              <w:rPr>
                <w:color w:val="FFFFFF"/>
              </w:rPr>
            </w:r>
            <w:r>
              <w:rPr>
                <w:b/>
                <w:sz w:val="14"/>
              </w:rPr>
              <w:t>e</w:t>
            </w:r>
          </w:p>
        </w:tc>
        <w:tc>
          <w:tcPr>
            <w:tcW w:type="dxa" w:w="2045"/>
            <w:vAlign w:val="center"/>
            <w:shd w:fill="1F4E79"/>
          </w:tcPr>
          <w:p>
            <w:pPr>
              <w:spacing w:after="20"/>
            </w:pPr>
            <w:r>
              <w:rPr>
                <w:color w:val="FFFFFF"/>
              </w:rPr>
            </w:r>
            <w:r>
              <w:rPr>
                <w:b/>
                <w:sz w:val="14"/>
              </w:rPr>
              <w:t>Connectivity</w:t>
            </w:r>
          </w:p>
        </w:tc>
      </w:tr>
      <w:tr>
        <w:trPr>
          <w:cantSplit/>
        </w:trPr>
        <w:tc>
          <w:tcPr>
            <w:tcW w:type="dxa" w:w="2045"/>
            <w:vAlign w:val="center"/>
          </w:tcPr>
          <w:p>
            <w:pPr>
              <w:spacing w:after="20"/>
            </w:pPr>
            <w:r/>
            <w:r>
              <w:rPr>
                <w:b w:val="0"/>
                <w:sz w:val="14"/>
              </w:rPr>
              <w:t>1</w:t>
            </w:r>
          </w:p>
        </w:tc>
        <w:tc>
          <w:tcPr>
            <w:tcW w:type="dxa" w:w="2045"/>
            <w:vAlign w:val="center"/>
          </w:tcPr>
          <w:p>
            <w:pPr>
              <w:spacing w:after="20"/>
            </w:pPr>
            <w:r/>
            <w:r>
              <w:rPr>
                <w:b w:val="0"/>
                <w:sz w:val="14"/>
              </w:rPr>
              <w:t>58330.8300069</w:t>
            </w:r>
          </w:p>
        </w:tc>
        <w:tc>
          <w:tcPr>
            <w:tcW w:type="dxa" w:w="2045"/>
            <w:vAlign w:val="center"/>
          </w:tcPr>
          <w:p>
            <w:pPr>
              <w:spacing w:after="20"/>
            </w:pPr>
            <w:r/>
            <w:r>
              <w:rPr>
                <w:b w:val="0"/>
                <w:sz w:val="14"/>
              </w:rPr>
              <w:t>206648970055</w:t>
            </w:r>
          </w:p>
        </w:tc>
        <w:tc>
          <w:tcPr>
            <w:tcW w:type="dxa" w:w="2045"/>
            <w:vAlign w:val="center"/>
          </w:tcPr>
          <w:p>
            <w:pPr>
              <w:spacing w:after="20"/>
            </w:pPr>
            <w:r/>
            <w:r>
              <w:rPr>
                <w:b w:val="0"/>
                <w:sz w:val="14"/>
              </w:rPr>
              <w:t>0.03938394</w:t>
            </w:r>
          </w:p>
        </w:tc>
        <w:tc>
          <w:tcPr>
            <w:tcW w:type="dxa" w:w="2045"/>
            <w:vAlign w:val="center"/>
          </w:tcPr>
          <w:p>
            <w:pPr>
              <w:spacing w:after="20"/>
            </w:pPr>
            <w:r/>
            <w:r>
              <w:rPr>
                <w:b w:val="0"/>
                <w:sz w:val="14"/>
              </w:rPr>
              <w:t>0.771937</w:t>
            </w:r>
          </w:p>
        </w:tc>
      </w:tr>
      <w:tr>
        <w:trPr>
          <w:cantSplit/>
        </w:trPr>
        <w:tc>
          <w:tcPr>
            <w:tcW w:type="dxa" w:w="2045"/>
            <w:vAlign w:val="center"/>
          </w:tcPr>
          <w:p>
            <w:pPr>
              <w:spacing w:after="20"/>
            </w:pPr>
            <w:r/>
            <w:r>
              <w:rPr>
                <w:b w:val="0"/>
                <w:sz w:val="14"/>
              </w:rPr>
              <w:t>2</w:t>
            </w:r>
          </w:p>
        </w:tc>
        <w:tc>
          <w:tcPr>
            <w:tcW w:type="dxa" w:w="2045"/>
            <w:vAlign w:val="center"/>
          </w:tcPr>
          <w:p>
            <w:pPr>
              <w:spacing w:after="20"/>
            </w:pPr>
            <w:r/>
            <w:r>
              <w:rPr>
                <w:b w:val="0"/>
                <w:sz w:val="14"/>
              </w:rPr>
              <w:t>58015.3885886</w:t>
            </w:r>
          </w:p>
        </w:tc>
        <w:tc>
          <w:tcPr>
            <w:tcW w:type="dxa" w:w="2045"/>
            <w:vAlign w:val="center"/>
          </w:tcPr>
          <w:p>
            <w:pPr>
              <w:spacing w:after="20"/>
            </w:pPr>
            <w:r/>
            <w:r>
              <w:rPr>
                <w:b w:val="0"/>
                <w:sz w:val="14"/>
              </w:rPr>
              <w:t>231569264913</w:t>
            </w:r>
          </w:p>
        </w:tc>
        <w:tc>
          <w:tcPr>
            <w:tcW w:type="dxa" w:w="2045"/>
            <w:vAlign w:val="center"/>
          </w:tcPr>
          <w:p>
            <w:pPr>
              <w:spacing w:after="20"/>
            </w:pPr>
            <w:r/>
            <w:r>
              <w:rPr>
                <w:b w:val="0"/>
                <w:sz w:val="14"/>
              </w:rPr>
              <w:t>0.03587129</w:t>
            </w:r>
          </w:p>
        </w:tc>
        <w:tc>
          <w:tcPr>
            <w:tcW w:type="dxa" w:w="2045"/>
            <w:vAlign w:val="center"/>
          </w:tcPr>
          <w:p>
            <w:pPr>
              <w:spacing w:after="20"/>
            </w:pPr>
            <w:r/>
            <w:r>
              <w:rPr>
                <w:b w:val="0"/>
                <w:sz w:val="14"/>
              </w:rPr>
              <w:t>0.871142</w:t>
            </w:r>
          </w:p>
        </w:tc>
      </w:tr>
      <w:tr>
        <w:trPr>
          <w:cantSplit/>
        </w:trPr>
        <w:tc>
          <w:tcPr>
            <w:tcW w:type="dxa" w:w="2045"/>
            <w:vAlign w:val="center"/>
          </w:tcPr>
          <w:p>
            <w:pPr>
              <w:spacing w:after="20"/>
            </w:pPr>
            <w:r/>
            <w:r>
              <w:rPr>
                <w:b w:val="0"/>
                <w:sz w:val="14"/>
              </w:rPr>
              <w:t>3</w:t>
            </w:r>
          </w:p>
        </w:tc>
        <w:tc>
          <w:tcPr>
            <w:tcW w:type="dxa" w:w="2045"/>
            <w:vAlign w:val="center"/>
          </w:tcPr>
          <w:p>
            <w:pPr>
              <w:spacing w:after="20"/>
            </w:pPr>
            <w:r/>
            <w:r>
              <w:rPr>
                <w:b w:val="0"/>
                <w:sz w:val="14"/>
              </w:rPr>
              <w:t>60348.1516843</w:t>
            </w:r>
          </w:p>
        </w:tc>
        <w:tc>
          <w:tcPr>
            <w:tcW w:type="dxa" w:w="2045"/>
            <w:vAlign w:val="center"/>
          </w:tcPr>
          <w:p>
            <w:pPr>
              <w:spacing w:after="20"/>
            </w:pPr>
            <w:r/>
            <w:r>
              <w:rPr>
                <w:b w:val="0"/>
                <w:sz w:val="14"/>
              </w:rPr>
              <w:t>197300375840</w:t>
            </w:r>
          </w:p>
        </w:tc>
        <w:tc>
          <w:tcPr>
            <w:tcW w:type="dxa" w:w="2045"/>
            <w:vAlign w:val="center"/>
          </w:tcPr>
          <w:p>
            <w:pPr>
              <w:spacing w:after="20"/>
            </w:pPr>
            <w:r/>
            <w:r>
              <w:rPr>
                <w:b w:val="0"/>
                <w:sz w:val="14"/>
              </w:rPr>
              <w:t>0.03761081</w:t>
            </w:r>
          </w:p>
        </w:tc>
        <w:tc>
          <w:tcPr>
            <w:tcW w:type="dxa" w:w="2045"/>
            <w:vAlign w:val="center"/>
          </w:tcPr>
          <w:p>
            <w:pPr>
              <w:spacing w:after="20"/>
            </w:pPr>
            <w:r/>
            <w:r>
              <w:rPr>
                <w:b w:val="0"/>
                <w:sz w:val="14"/>
              </w:rPr>
              <w:t>0.961986</w:t>
            </w:r>
          </w:p>
        </w:tc>
      </w:tr>
      <w:tr>
        <w:trPr>
          <w:cantSplit/>
        </w:trPr>
        <w:tc>
          <w:tcPr>
            <w:tcW w:type="dxa" w:w="2045"/>
            <w:vAlign w:val="center"/>
          </w:tcPr>
          <w:p>
            <w:pPr>
              <w:spacing w:after="20"/>
            </w:pPr>
            <w:r/>
            <w:r>
              <w:rPr>
                <w:b w:val="0"/>
                <w:sz w:val="14"/>
              </w:rPr>
              <w:t>4</w:t>
            </w:r>
          </w:p>
        </w:tc>
        <w:tc>
          <w:tcPr>
            <w:tcW w:type="dxa" w:w="2045"/>
            <w:vAlign w:val="center"/>
          </w:tcPr>
          <w:p>
            <w:pPr>
              <w:spacing w:after="20"/>
            </w:pPr>
            <w:r/>
            <w:r>
              <w:rPr>
                <w:b w:val="0"/>
                <w:sz w:val="14"/>
              </w:rPr>
              <w:t>55483.9769685</w:t>
            </w:r>
          </w:p>
        </w:tc>
        <w:tc>
          <w:tcPr>
            <w:tcW w:type="dxa" w:w="2045"/>
            <w:vAlign w:val="center"/>
          </w:tcPr>
          <w:p>
            <w:pPr>
              <w:spacing w:after="20"/>
            </w:pPr>
            <w:r/>
            <w:r>
              <w:rPr>
                <w:b w:val="0"/>
                <w:sz w:val="14"/>
              </w:rPr>
              <w:t>241224419088</w:t>
            </w:r>
          </w:p>
        </w:tc>
        <w:tc>
          <w:tcPr>
            <w:tcW w:type="dxa" w:w="2045"/>
            <w:vAlign w:val="center"/>
          </w:tcPr>
          <w:p>
            <w:pPr>
              <w:spacing w:after="20"/>
            </w:pPr>
            <w:r/>
            <w:r>
              <w:rPr>
                <w:b w:val="0"/>
                <w:sz w:val="14"/>
              </w:rPr>
              <w:t>0.03386869</w:t>
            </w:r>
          </w:p>
        </w:tc>
        <w:tc>
          <w:tcPr>
            <w:tcW w:type="dxa" w:w="2045"/>
            <w:vAlign w:val="center"/>
          </w:tcPr>
          <w:p>
            <w:pPr>
              <w:spacing w:after="20"/>
            </w:pPr>
            <w:r/>
            <w:r>
              <w:rPr>
                <w:b w:val="0"/>
                <w:sz w:val="14"/>
              </w:rPr>
              <w:t>0.893793</w:t>
            </w:r>
          </w:p>
        </w:tc>
      </w:tr>
      <w:tr>
        <w:trPr>
          <w:cantSplit/>
        </w:trPr>
        <w:tc>
          <w:tcPr>
            <w:tcW w:type="dxa" w:w="2045"/>
            <w:vAlign w:val="center"/>
          </w:tcPr>
          <w:p>
            <w:pPr>
              <w:spacing w:after="20"/>
            </w:pPr>
            <w:r/>
            <w:r>
              <w:rPr>
                <w:b w:val="0"/>
                <w:sz w:val="14"/>
              </w:rPr>
              <w:t>5</w:t>
            </w:r>
          </w:p>
        </w:tc>
        <w:tc>
          <w:tcPr>
            <w:tcW w:type="dxa" w:w="2045"/>
            <w:vAlign w:val="center"/>
          </w:tcPr>
          <w:p>
            <w:pPr>
              <w:spacing w:after="20"/>
            </w:pPr>
            <w:r/>
            <w:r>
              <w:rPr>
                <w:b w:val="0"/>
                <w:sz w:val="14"/>
              </w:rPr>
              <w:t>50809.7838147</w:t>
            </w:r>
          </w:p>
        </w:tc>
        <w:tc>
          <w:tcPr>
            <w:tcW w:type="dxa" w:w="2045"/>
            <w:vAlign w:val="center"/>
          </w:tcPr>
          <w:p>
            <w:pPr>
              <w:spacing w:after="20"/>
            </w:pPr>
            <w:r/>
            <w:r>
              <w:rPr>
                <w:b w:val="0"/>
                <w:sz w:val="14"/>
              </w:rPr>
              <w:t>275488406384</w:t>
            </w:r>
          </w:p>
        </w:tc>
        <w:tc>
          <w:tcPr>
            <w:tcW w:type="dxa" w:w="2045"/>
            <w:vAlign w:val="center"/>
          </w:tcPr>
          <w:p>
            <w:pPr>
              <w:spacing w:after="20"/>
            </w:pPr>
            <w:r/>
            <w:r>
              <w:rPr>
                <w:b w:val="0"/>
                <w:sz w:val="14"/>
              </w:rPr>
              <w:t>0.03104042</w:t>
            </w:r>
          </w:p>
        </w:tc>
        <w:tc>
          <w:tcPr>
            <w:tcW w:type="dxa" w:w="2045"/>
            <w:vAlign w:val="center"/>
          </w:tcPr>
          <w:p>
            <w:pPr>
              <w:spacing w:after="20"/>
            </w:pPr>
            <w:r/>
            <w:r>
              <w:rPr>
                <w:b w:val="0"/>
                <w:sz w:val="14"/>
              </w:rPr>
              <w:t>0.860450</w:t>
            </w:r>
          </w:p>
        </w:tc>
      </w:tr>
      <w:tr>
        <w:trPr>
          <w:cantSplit/>
        </w:trPr>
        <w:tc>
          <w:tcPr>
            <w:tcW w:type="dxa" w:w="2045"/>
            <w:vAlign w:val="center"/>
          </w:tcPr>
          <w:p>
            <w:pPr>
              <w:spacing w:after="20"/>
            </w:pPr>
            <w:r/>
            <w:r>
              <w:rPr>
                <w:b w:val="0"/>
                <w:sz w:val="14"/>
              </w:rPr>
              <w:t>6</w:t>
            </w:r>
          </w:p>
        </w:tc>
        <w:tc>
          <w:tcPr>
            <w:tcW w:type="dxa" w:w="2045"/>
            <w:vAlign w:val="center"/>
          </w:tcPr>
          <w:p>
            <w:pPr>
              <w:spacing w:after="20"/>
            </w:pPr>
            <w:r/>
            <w:r>
              <w:rPr>
                <w:b w:val="0"/>
                <w:sz w:val="14"/>
              </w:rPr>
              <w:t>56828.2829065</w:t>
            </w:r>
          </w:p>
        </w:tc>
        <w:tc>
          <w:tcPr>
            <w:tcW w:type="dxa" w:w="2045"/>
            <w:vAlign w:val="center"/>
          </w:tcPr>
          <w:p>
            <w:pPr>
              <w:spacing w:after="20"/>
            </w:pPr>
            <w:r/>
            <w:r>
              <w:rPr>
                <w:b w:val="0"/>
                <w:sz w:val="14"/>
              </w:rPr>
              <w:t>206761011091</w:t>
            </w:r>
          </w:p>
        </w:tc>
        <w:tc>
          <w:tcPr>
            <w:tcW w:type="dxa" w:w="2045"/>
            <w:vAlign w:val="center"/>
          </w:tcPr>
          <w:p>
            <w:pPr>
              <w:spacing w:after="20"/>
            </w:pPr>
            <w:r/>
            <w:r>
              <w:rPr>
                <w:b w:val="0"/>
                <w:sz w:val="14"/>
              </w:rPr>
              <w:t>0.03528613</w:t>
            </w:r>
          </w:p>
        </w:tc>
        <w:tc>
          <w:tcPr>
            <w:tcW w:type="dxa" w:w="2045"/>
            <w:vAlign w:val="center"/>
          </w:tcPr>
          <w:p>
            <w:pPr>
              <w:spacing w:after="20"/>
            </w:pPr>
            <w:r/>
            <w:r>
              <w:rPr>
                <w:b w:val="0"/>
                <w:sz w:val="14"/>
              </w:rPr>
              <w:t>0.951386</w:t>
            </w:r>
          </w:p>
        </w:tc>
      </w:tr>
      <w:tr>
        <w:trPr>
          <w:cantSplit/>
        </w:trPr>
        <w:tc>
          <w:tcPr>
            <w:tcW w:type="dxa" w:w="2045"/>
            <w:vAlign w:val="center"/>
          </w:tcPr>
          <w:p>
            <w:pPr>
              <w:spacing w:after="20"/>
            </w:pPr>
            <w:r/>
            <w:r>
              <w:rPr>
                <w:b w:val="0"/>
                <w:sz w:val="14"/>
              </w:rPr>
              <w:t>7</w:t>
            </w:r>
          </w:p>
        </w:tc>
        <w:tc>
          <w:tcPr>
            <w:tcW w:type="dxa" w:w="2045"/>
            <w:vAlign w:val="center"/>
          </w:tcPr>
          <w:p>
            <w:pPr>
              <w:spacing w:after="20"/>
            </w:pPr>
            <w:r/>
            <w:r>
              <w:rPr>
                <w:b w:val="0"/>
                <w:sz w:val="14"/>
              </w:rPr>
              <w:t>62337.1137011</w:t>
            </w:r>
          </w:p>
        </w:tc>
        <w:tc>
          <w:tcPr>
            <w:tcW w:type="dxa" w:w="2045"/>
            <w:vAlign w:val="center"/>
          </w:tcPr>
          <w:p>
            <w:pPr>
              <w:spacing w:after="20"/>
            </w:pPr>
            <w:r/>
            <w:r>
              <w:rPr>
                <w:b w:val="0"/>
                <w:sz w:val="14"/>
              </w:rPr>
              <w:t>201794172784</w:t>
            </w:r>
          </w:p>
        </w:tc>
        <w:tc>
          <w:tcPr>
            <w:tcW w:type="dxa" w:w="2045"/>
            <w:vAlign w:val="center"/>
          </w:tcPr>
          <w:p>
            <w:pPr>
              <w:spacing w:after="20"/>
            </w:pPr>
            <w:r/>
            <w:r>
              <w:rPr>
                <w:b w:val="0"/>
                <w:sz w:val="14"/>
              </w:rPr>
              <w:t>0.03826954</w:t>
            </w:r>
          </w:p>
        </w:tc>
        <w:tc>
          <w:tcPr>
            <w:tcW w:type="dxa" w:w="2045"/>
            <w:vAlign w:val="center"/>
          </w:tcPr>
          <w:p>
            <w:pPr>
              <w:spacing w:after="20"/>
            </w:pPr>
            <w:r/>
            <w:r>
              <w:rPr>
                <w:b w:val="0"/>
                <w:sz w:val="14"/>
              </w:rPr>
              <w:t>0.931587</w:t>
            </w:r>
          </w:p>
        </w:tc>
      </w:tr>
      <w:tr>
        <w:trPr>
          <w:cantSplit/>
        </w:trPr>
        <w:tc>
          <w:tcPr>
            <w:tcW w:type="dxa" w:w="2045"/>
            <w:vAlign w:val="center"/>
          </w:tcPr>
          <w:p>
            <w:pPr>
              <w:spacing w:after="20"/>
            </w:pPr>
            <w:r/>
            <w:r>
              <w:rPr>
                <w:b w:val="0"/>
                <w:sz w:val="14"/>
              </w:rPr>
              <w:t>8</w:t>
            </w:r>
          </w:p>
        </w:tc>
        <w:tc>
          <w:tcPr>
            <w:tcW w:type="dxa" w:w="2045"/>
            <w:vAlign w:val="center"/>
          </w:tcPr>
          <w:p>
            <w:pPr>
              <w:spacing w:after="20"/>
            </w:pPr>
            <w:r/>
            <w:r>
              <w:rPr>
                <w:b w:val="0"/>
                <w:sz w:val="14"/>
              </w:rPr>
              <w:t>62899.9591253</w:t>
            </w:r>
          </w:p>
        </w:tc>
        <w:tc>
          <w:tcPr>
            <w:tcW w:type="dxa" w:w="2045"/>
            <w:vAlign w:val="center"/>
          </w:tcPr>
          <w:p>
            <w:pPr>
              <w:spacing w:after="20"/>
            </w:pPr>
            <w:r/>
            <w:r>
              <w:rPr>
                <w:b w:val="0"/>
                <w:sz w:val="14"/>
              </w:rPr>
              <w:t>158125453407</w:t>
            </w:r>
          </w:p>
        </w:tc>
        <w:tc>
          <w:tcPr>
            <w:tcW w:type="dxa" w:w="2045"/>
            <w:vAlign w:val="center"/>
          </w:tcPr>
          <w:p>
            <w:pPr>
              <w:spacing w:after="20"/>
            </w:pPr>
            <w:r/>
            <w:r>
              <w:rPr>
                <w:b w:val="0"/>
                <w:sz w:val="14"/>
              </w:rPr>
              <w:t>0.04185398</w:t>
            </w:r>
          </w:p>
        </w:tc>
        <w:tc>
          <w:tcPr>
            <w:tcW w:type="dxa" w:w="2045"/>
            <w:vAlign w:val="center"/>
          </w:tcPr>
          <w:p>
            <w:pPr>
              <w:spacing w:after="20"/>
            </w:pPr>
            <w:r/>
            <w:r>
              <w:rPr>
                <w:b w:val="0"/>
                <w:sz w:val="14"/>
              </w:rPr>
              <w:t>0.962679</w:t>
            </w:r>
          </w:p>
        </w:tc>
      </w:tr>
      <w:tr>
        <w:trPr>
          <w:cantSplit/>
        </w:trPr>
        <w:tc>
          <w:tcPr>
            <w:tcW w:type="dxa" w:w="2045"/>
            <w:vAlign w:val="center"/>
          </w:tcPr>
          <w:p>
            <w:pPr>
              <w:spacing w:after="20"/>
            </w:pPr>
            <w:r/>
            <w:r>
              <w:rPr>
                <w:b w:val="0"/>
                <w:sz w:val="14"/>
              </w:rPr>
              <w:t>9</w:t>
            </w:r>
          </w:p>
        </w:tc>
        <w:tc>
          <w:tcPr>
            <w:tcW w:type="dxa" w:w="2045"/>
            <w:vAlign w:val="center"/>
          </w:tcPr>
          <w:p>
            <w:pPr>
              <w:spacing w:after="20"/>
            </w:pPr>
            <w:r/>
            <w:r>
              <w:rPr>
                <w:b w:val="0"/>
                <w:sz w:val="14"/>
              </w:rPr>
              <w:t>57073.7531497</w:t>
            </w:r>
          </w:p>
        </w:tc>
        <w:tc>
          <w:tcPr>
            <w:tcW w:type="dxa" w:w="2045"/>
            <w:vAlign w:val="center"/>
          </w:tcPr>
          <w:p>
            <w:pPr>
              <w:spacing w:after="20"/>
            </w:pPr>
            <w:r/>
            <w:r>
              <w:rPr>
                <w:b w:val="0"/>
                <w:sz w:val="14"/>
              </w:rPr>
              <w:t>183625132415</w:t>
            </w:r>
          </w:p>
        </w:tc>
        <w:tc>
          <w:tcPr>
            <w:tcW w:type="dxa" w:w="2045"/>
            <w:vAlign w:val="center"/>
          </w:tcPr>
          <w:p>
            <w:pPr>
              <w:spacing w:after="20"/>
            </w:pPr>
            <w:r/>
            <w:r>
              <w:rPr>
                <w:b w:val="0"/>
                <w:sz w:val="14"/>
              </w:rPr>
              <w:t>0.03722097</w:t>
            </w:r>
          </w:p>
        </w:tc>
        <w:tc>
          <w:tcPr>
            <w:tcW w:type="dxa" w:w="2045"/>
            <w:vAlign w:val="center"/>
          </w:tcPr>
          <w:p>
            <w:pPr>
              <w:spacing w:after="20"/>
            </w:pPr>
            <w:r/>
            <w:r>
              <w:rPr>
                <w:b w:val="0"/>
                <w:sz w:val="14"/>
              </w:rPr>
              <w:t>0.982438</w:t>
            </w:r>
          </w:p>
        </w:tc>
      </w:tr>
      <w:tr>
        <w:trPr>
          <w:cantSplit/>
        </w:trPr>
        <w:tc>
          <w:tcPr>
            <w:tcW w:type="dxa" w:w="2045"/>
            <w:vAlign w:val="center"/>
          </w:tcPr>
          <w:p>
            <w:pPr>
              <w:spacing w:after="20"/>
            </w:pPr>
            <w:r/>
            <w:r>
              <w:rPr>
                <w:b w:val="0"/>
                <w:sz w:val="14"/>
              </w:rPr>
              <w:t>10</w:t>
            </w:r>
          </w:p>
        </w:tc>
        <w:tc>
          <w:tcPr>
            <w:tcW w:type="dxa" w:w="2045"/>
            <w:vAlign w:val="center"/>
          </w:tcPr>
          <w:p>
            <w:pPr>
              <w:spacing w:after="20"/>
            </w:pPr>
            <w:r/>
            <w:r>
              <w:rPr>
                <w:b w:val="0"/>
                <w:sz w:val="14"/>
              </w:rPr>
              <w:t>61712.335316</w:t>
            </w:r>
          </w:p>
        </w:tc>
        <w:tc>
          <w:tcPr>
            <w:tcW w:type="dxa" w:w="2045"/>
            <w:vAlign w:val="center"/>
          </w:tcPr>
          <w:p>
            <w:pPr>
              <w:spacing w:after="20"/>
            </w:pPr>
            <w:r/>
            <w:r>
              <w:rPr>
                <w:b w:val="0"/>
                <w:sz w:val="14"/>
              </w:rPr>
              <w:t>158677801762</w:t>
            </w:r>
          </w:p>
        </w:tc>
        <w:tc>
          <w:tcPr>
            <w:tcW w:type="dxa" w:w="2045"/>
            <w:vAlign w:val="center"/>
          </w:tcPr>
          <w:p>
            <w:pPr>
              <w:spacing w:after="20"/>
            </w:pPr>
            <w:r/>
            <w:r>
              <w:rPr>
                <w:b w:val="0"/>
                <w:sz w:val="14"/>
              </w:rPr>
              <w:t>0.04129924</w:t>
            </w:r>
          </w:p>
        </w:tc>
        <w:tc>
          <w:tcPr>
            <w:tcW w:type="dxa" w:w="2045"/>
            <w:vAlign w:val="center"/>
          </w:tcPr>
          <w:p>
            <w:pPr>
              <w:spacing w:after="20"/>
            </w:pPr>
            <w:r/>
            <w:r>
              <w:rPr>
                <w:b w:val="0"/>
                <w:sz w:val="14"/>
              </w:rPr>
              <w:t>0.969123</w:t>
            </w:r>
          </w:p>
        </w:tc>
      </w:tr>
    </w:tbl>
    <w:p>
      <w:pPr>
        <w:spacing w:after="20"/>
      </w:pPr>
    </w:p>
    <w:p>
      <w:pPr>
        <w:pStyle w:val="Heading2"/>
      </w:pPr>
      <w:r>
        <w:t>Steatosis profile exact values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vAlign w:val="center"/>
            <w:shd w:fill="1F4E79"/>
          </w:tcPr>
          <w:p>
            <w:pPr>
              <w:spacing w:after="20"/>
            </w:pPr>
            <w:r>
              <w:rPr>
                <w:color w:val="FFFFFF"/>
              </w:rPr>
            </w:r>
            <w:r>
              <w:rPr>
                <w:b/>
                <w:sz w:val="14"/>
              </w:rPr>
              <w:t>Position</w:t>
            </w:r>
          </w:p>
        </w:tc>
        <w:tc>
          <w:tcPr>
            <w:tcW w:type="dxa" w:w="2045"/>
            <w:vAlign w:val="center"/>
            <w:shd w:fill="1F4E79"/>
          </w:tcPr>
          <w:p>
            <w:pPr>
              <w:spacing w:after="20"/>
            </w:pPr>
            <w:r>
              <w:rPr>
                <w:color w:val="FFFFFF"/>
              </w:rPr>
            </w:r>
            <w:r>
              <w:rPr>
                <w:b/>
                <w:sz w:val="14"/>
              </w:rPr>
              <w:t>A</w:t>
            </w:r>
          </w:p>
        </w:tc>
        <w:tc>
          <w:tcPr>
            <w:tcW w:type="dxa" w:w="2045"/>
            <w:vAlign w:val="center"/>
            <w:shd w:fill="1F4E79"/>
          </w:tcPr>
          <w:p>
            <w:pPr>
              <w:spacing w:after="20"/>
            </w:pPr>
            <w:r>
              <w:rPr>
                <w:color w:val="FFFFFF"/>
              </w:rPr>
            </w:r>
            <w:r>
              <w:rPr>
                <w:b/>
                <w:sz w:val="14"/>
              </w:rPr>
              <w:t>K</w:t>
            </w:r>
          </w:p>
        </w:tc>
        <w:tc>
          <w:tcPr>
            <w:tcW w:type="dxa" w:w="2045"/>
            <w:vAlign w:val="center"/>
            <w:shd w:fill="1F4E79"/>
          </w:tcPr>
          <w:p>
            <w:pPr>
              <w:spacing w:after="20"/>
            </w:pPr>
            <w:r>
              <w:rPr>
                <w:color w:val="FFFFFF"/>
              </w:rPr>
            </w:r>
            <w:r>
              <w:rPr>
                <w:b/>
                <w:sz w:val="14"/>
              </w:rPr>
              <w:t>e</w:t>
            </w:r>
          </w:p>
        </w:tc>
        <w:tc>
          <w:tcPr>
            <w:tcW w:type="dxa" w:w="2045"/>
            <w:vAlign w:val="center"/>
            <w:shd w:fill="1F4E79"/>
          </w:tcPr>
          <w:p>
            <w:pPr>
              <w:spacing w:after="20"/>
            </w:pPr>
            <w:r>
              <w:rPr>
                <w:color w:val="FFFFFF"/>
              </w:rPr>
            </w:r>
            <w:r>
              <w:rPr>
                <w:b/>
                <w:sz w:val="14"/>
              </w:rPr>
              <w:t>Connectivity</w:t>
            </w:r>
          </w:p>
        </w:tc>
      </w:tr>
      <w:tr>
        <w:trPr>
          <w:cantSplit/>
        </w:trPr>
        <w:tc>
          <w:tcPr>
            <w:tcW w:type="dxa" w:w="2045"/>
            <w:vAlign w:val="center"/>
          </w:tcPr>
          <w:p>
            <w:pPr>
              <w:spacing w:after="20"/>
            </w:pPr>
            <w:r/>
            <w:r>
              <w:rPr>
                <w:b w:val="0"/>
                <w:sz w:val="14"/>
              </w:rPr>
              <w:t>1</w:t>
            </w:r>
          </w:p>
        </w:tc>
        <w:tc>
          <w:tcPr>
            <w:tcW w:type="dxa" w:w="2045"/>
            <w:vAlign w:val="center"/>
          </w:tcPr>
          <w:p>
            <w:pPr>
              <w:spacing w:after="20"/>
            </w:pPr>
            <w:r/>
            <w:r>
              <w:rPr>
                <w:b w:val="0"/>
                <w:sz w:val="14"/>
              </w:rPr>
              <w:t>5511.00227666</w:t>
            </w:r>
          </w:p>
        </w:tc>
        <w:tc>
          <w:tcPr>
            <w:tcW w:type="dxa" w:w="2045"/>
            <w:vAlign w:val="center"/>
          </w:tcPr>
          <w:p>
            <w:pPr>
              <w:spacing w:after="20"/>
            </w:pPr>
            <w:r/>
            <w:r>
              <w:rPr>
                <w:b w:val="0"/>
                <w:sz w:val="14"/>
              </w:rPr>
              <w:t>4.22261517689e+14</w:t>
            </w:r>
          </w:p>
        </w:tc>
        <w:tc>
          <w:tcPr>
            <w:tcW w:type="dxa" w:w="2045"/>
            <w:vAlign w:val="center"/>
          </w:tcPr>
          <w:p>
            <w:pPr>
              <w:spacing w:after="20"/>
            </w:pPr>
            <w:r/>
            <w:r>
              <w:rPr>
                <w:b w:val="0"/>
                <w:sz w:val="14"/>
              </w:rPr>
              <w:t>0.00287280</w:t>
            </w:r>
          </w:p>
        </w:tc>
        <w:tc>
          <w:tcPr>
            <w:tcW w:type="dxa" w:w="2045"/>
            <w:vAlign w:val="center"/>
          </w:tcPr>
          <w:p>
            <w:pPr>
              <w:spacing w:after="20"/>
            </w:pPr>
            <w:r/>
            <w:r>
              <w:rPr>
                <w:b w:val="0"/>
                <w:sz w:val="14"/>
              </w:rPr>
              <w:t>0.010000</w:t>
            </w:r>
          </w:p>
        </w:tc>
      </w:tr>
      <w:tr>
        <w:trPr>
          <w:cantSplit/>
        </w:trPr>
        <w:tc>
          <w:tcPr>
            <w:tcW w:type="dxa" w:w="2045"/>
            <w:vAlign w:val="center"/>
          </w:tcPr>
          <w:p>
            <w:pPr>
              <w:spacing w:after="20"/>
            </w:pPr>
            <w:r/>
            <w:r>
              <w:rPr>
                <w:b w:val="0"/>
                <w:sz w:val="14"/>
              </w:rPr>
              <w:t>2</w:t>
            </w:r>
          </w:p>
        </w:tc>
        <w:tc>
          <w:tcPr>
            <w:tcW w:type="dxa" w:w="2045"/>
            <w:vAlign w:val="center"/>
          </w:tcPr>
          <w:p>
            <w:pPr>
              <w:spacing w:after="20"/>
            </w:pPr>
            <w:r/>
            <w:r>
              <w:rPr>
                <w:b w:val="0"/>
                <w:sz w:val="14"/>
              </w:rPr>
              <w:t>15457.0006401</w:t>
            </w:r>
          </w:p>
        </w:tc>
        <w:tc>
          <w:tcPr>
            <w:tcW w:type="dxa" w:w="2045"/>
            <w:vAlign w:val="center"/>
          </w:tcPr>
          <w:p>
            <w:pPr>
              <w:spacing w:after="20"/>
            </w:pPr>
            <w:r/>
            <w:r>
              <w:rPr>
                <w:b w:val="0"/>
                <w:sz w:val="14"/>
              </w:rPr>
              <w:t>7.80805723959e+12</w:t>
            </w:r>
          </w:p>
        </w:tc>
        <w:tc>
          <w:tcPr>
            <w:tcW w:type="dxa" w:w="2045"/>
            <w:vAlign w:val="center"/>
          </w:tcPr>
          <w:p>
            <w:pPr>
              <w:spacing w:after="20"/>
            </w:pPr>
            <w:r/>
            <w:r>
              <w:rPr>
                <w:b w:val="0"/>
                <w:sz w:val="14"/>
              </w:rPr>
              <w:t>0.00912449</w:t>
            </w:r>
          </w:p>
        </w:tc>
        <w:tc>
          <w:tcPr>
            <w:tcW w:type="dxa" w:w="2045"/>
            <w:vAlign w:val="center"/>
          </w:tcPr>
          <w:p>
            <w:pPr>
              <w:spacing w:after="20"/>
            </w:pPr>
            <w:r/>
            <w:r>
              <w:rPr>
                <w:b w:val="0"/>
                <w:sz w:val="14"/>
              </w:rPr>
              <w:t>0.122726</w:t>
            </w:r>
          </w:p>
        </w:tc>
      </w:tr>
      <w:tr>
        <w:trPr>
          <w:cantSplit/>
        </w:trPr>
        <w:tc>
          <w:tcPr>
            <w:tcW w:type="dxa" w:w="2045"/>
            <w:vAlign w:val="center"/>
          </w:tcPr>
          <w:p>
            <w:pPr>
              <w:spacing w:after="20"/>
            </w:pPr>
            <w:r/>
            <w:r>
              <w:rPr>
                <w:b w:val="0"/>
                <w:sz w:val="14"/>
              </w:rPr>
              <w:t>3</w:t>
            </w:r>
          </w:p>
        </w:tc>
        <w:tc>
          <w:tcPr>
            <w:tcW w:type="dxa" w:w="2045"/>
            <w:vAlign w:val="center"/>
          </w:tcPr>
          <w:p>
            <w:pPr>
              <w:spacing w:after="20"/>
            </w:pPr>
            <w:r/>
            <w:r>
              <w:rPr>
                <w:b w:val="0"/>
                <w:sz w:val="14"/>
              </w:rPr>
              <w:t>27433.9394063</w:t>
            </w:r>
          </w:p>
        </w:tc>
        <w:tc>
          <w:tcPr>
            <w:tcW w:type="dxa" w:w="2045"/>
            <w:vAlign w:val="center"/>
          </w:tcPr>
          <w:p>
            <w:pPr>
              <w:spacing w:after="20"/>
            </w:pPr>
            <w:r/>
            <w:r>
              <w:rPr>
                <w:b w:val="0"/>
                <w:sz w:val="14"/>
              </w:rPr>
              <w:t>1.3812107301e+12</w:t>
            </w:r>
          </w:p>
        </w:tc>
        <w:tc>
          <w:tcPr>
            <w:tcW w:type="dxa" w:w="2045"/>
            <w:vAlign w:val="center"/>
          </w:tcPr>
          <w:p>
            <w:pPr>
              <w:spacing w:after="20"/>
            </w:pPr>
            <w:r/>
            <w:r>
              <w:rPr>
                <w:b w:val="0"/>
                <w:sz w:val="14"/>
              </w:rPr>
              <w:t>0.01747601</w:t>
            </w:r>
          </w:p>
        </w:tc>
        <w:tc>
          <w:tcPr>
            <w:tcW w:type="dxa" w:w="2045"/>
            <w:vAlign w:val="center"/>
          </w:tcPr>
          <w:p>
            <w:pPr>
              <w:spacing w:after="20"/>
            </w:pPr>
            <w:r/>
            <w:r>
              <w:rPr>
                <w:b w:val="0"/>
                <w:sz w:val="14"/>
              </w:rPr>
              <w:t>0.313083</w:t>
            </w:r>
          </w:p>
        </w:tc>
      </w:tr>
      <w:tr>
        <w:trPr>
          <w:cantSplit/>
        </w:trPr>
        <w:tc>
          <w:tcPr>
            <w:tcW w:type="dxa" w:w="2045"/>
            <w:vAlign w:val="center"/>
          </w:tcPr>
          <w:p>
            <w:pPr>
              <w:spacing w:after="20"/>
            </w:pPr>
            <w:r/>
            <w:r>
              <w:rPr>
                <w:b w:val="0"/>
                <w:sz w:val="14"/>
              </w:rPr>
              <w:t>4</w:t>
            </w:r>
          </w:p>
        </w:tc>
        <w:tc>
          <w:tcPr>
            <w:tcW w:type="dxa" w:w="2045"/>
            <w:vAlign w:val="center"/>
          </w:tcPr>
          <w:p>
            <w:pPr>
              <w:spacing w:after="20"/>
            </w:pPr>
            <w:r/>
            <w:r>
              <w:rPr>
                <w:b w:val="0"/>
                <w:sz w:val="14"/>
              </w:rPr>
              <w:t>32671.5328449</w:t>
            </w:r>
          </w:p>
        </w:tc>
        <w:tc>
          <w:tcPr>
            <w:tcW w:type="dxa" w:w="2045"/>
            <w:vAlign w:val="center"/>
          </w:tcPr>
          <w:p>
            <w:pPr>
              <w:spacing w:after="20"/>
            </w:pPr>
            <w:r/>
            <w:r>
              <w:rPr>
                <w:b w:val="0"/>
                <w:sz w:val="14"/>
              </w:rPr>
              <w:t>521494282430</w:t>
            </w:r>
          </w:p>
        </w:tc>
        <w:tc>
          <w:tcPr>
            <w:tcW w:type="dxa" w:w="2045"/>
            <w:vAlign w:val="center"/>
          </w:tcPr>
          <w:p>
            <w:pPr>
              <w:spacing w:after="20"/>
            </w:pPr>
            <w:r/>
            <w:r>
              <w:rPr>
                <w:b w:val="0"/>
                <w:sz w:val="14"/>
              </w:rPr>
              <w:t>0.02145090</w:t>
            </w:r>
          </w:p>
        </w:tc>
        <w:tc>
          <w:tcPr>
            <w:tcW w:type="dxa" w:w="2045"/>
            <w:vAlign w:val="center"/>
          </w:tcPr>
          <w:p>
            <w:pPr>
              <w:spacing w:after="20"/>
            </w:pPr>
            <w:r/>
            <w:r>
              <w:rPr>
                <w:b w:val="0"/>
                <w:sz w:val="14"/>
              </w:rPr>
              <w:t>0.659835</w:t>
            </w:r>
          </w:p>
        </w:tc>
      </w:tr>
      <w:tr>
        <w:trPr>
          <w:cantSplit/>
        </w:trPr>
        <w:tc>
          <w:tcPr>
            <w:tcW w:type="dxa" w:w="2045"/>
            <w:vAlign w:val="center"/>
          </w:tcPr>
          <w:p>
            <w:pPr>
              <w:spacing w:after="20"/>
            </w:pPr>
            <w:r/>
            <w:r>
              <w:rPr>
                <w:b w:val="0"/>
                <w:sz w:val="14"/>
              </w:rPr>
              <w:t>5</w:t>
            </w:r>
          </w:p>
        </w:tc>
        <w:tc>
          <w:tcPr>
            <w:tcW w:type="dxa" w:w="2045"/>
            <w:vAlign w:val="center"/>
          </w:tcPr>
          <w:p>
            <w:pPr>
              <w:spacing w:after="20"/>
            </w:pPr>
            <w:r/>
            <w:r>
              <w:rPr>
                <w:b w:val="0"/>
                <w:sz w:val="14"/>
              </w:rPr>
              <w:t>45737.3481815</w:t>
            </w:r>
          </w:p>
        </w:tc>
        <w:tc>
          <w:tcPr>
            <w:tcW w:type="dxa" w:w="2045"/>
            <w:vAlign w:val="center"/>
          </w:tcPr>
          <w:p>
            <w:pPr>
              <w:spacing w:after="20"/>
            </w:pPr>
            <w:r/>
            <w:r>
              <w:rPr>
                <w:b w:val="0"/>
                <w:sz w:val="14"/>
              </w:rPr>
              <w:t>224778325303</w:t>
            </w:r>
          </w:p>
        </w:tc>
        <w:tc>
          <w:tcPr>
            <w:tcW w:type="dxa" w:w="2045"/>
            <w:vAlign w:val="center"/>
          </w:tcPr>
          <w:p>
            <w:pPr>
              <w:spacing w:after="20"/>
            </w:pPr>
            <w:r/>
            <w:r>
              <w:rPr>
                <w:b w:val="0"/>
                <w:sz w:val="14"/>
              </w:rPr>
              <w:t>0.03310722</w:t>
            </w:r>
          </w:p>
        </w:tc>
        <w:tc>
          <w:tcPr>
            <w:tcW w:type="dxa" w:w="2045"/>
            <w:vAlign w:val="center"/>
          </w:tcPr>
          <w:p>
            <w:pPr>
              <w:spacing w:after="20"/>
            </w:pPr>
            <w:r/>
            <w:r>
              <w:rPr>
                <w:b w:val="0"/>
                <w:sz w:val="14"/>
              </w:rPr>
              <w:t>0.775967</w:t>
            </w:r>
          </w:p>
        </w:tc>
      </w:tr>
      <w:tr>
        <w:trPr>
          <w:cantSplit/>
        </w:trPr>
        <w:tc>
          <w:tcPr>
            <w:tcW w:type="dxa" w:w="2045"/>
            <w:vAlign w:val="center"/>
          </w:tcPr>
          <w:p>
            <w:pPr>
              <w:spacing w:after="20"/>
            </w:pPr>
            <w:r/>
            <w:r>
              <w:rPr>
                <w:b w:val="0"/>
                <w:sz w:val="14"/>
              </w:rPr>
              <w:t>6</w:t>
            </w:r>
          </w:p>
        </w:tc>
        <w:tc>
          <w:tcPr>
            <w:tcW w:type="dxa" w:w="2045"/>
            <w:vAlign w:val="center"/>
          </w:tcPr>
          <w:p>
            <w:pPr>
              <w:spacing w:after="20"/>
            </w:pPr>
            <w:r/>
            <w:r>
              <w:rPr>
                <w:b w:val="0"/>
                <w:sz w:val="14"/>
              </w:rPr>
              <w:t>52698.5417437</w:t>
            </w:r>
          </w:p>
        </w:tc>
        <w:tc>
          <w:tcPr>
            <w:tcW w:type="dxa" w:w="2045"/>
            <w:vAlign w:val="center"/>
          </w:tcPr>
          <w:p>
            <w:pPr>
              <w:spacing w:after="20"/>
            </w:pPr>
            <w:r/>
            <w:r>
              <w:rPr>
                <w:b w:val="0"/>
                <w:sz w:val="14"/>
              </w:rPr>
              <w:t>142309810289</w:t>
            </w:r>
          </w:p>
        </w:tc>
        <w:tc>
          <w:tcPr>
            <w:tcW w:type="dxa" w:w="2045"/>
            <w:vAlign w:val="center"/>
          </w:tcPr>
          <w:p>
            <w:pPr>
              <w:spacing w:after="20"/>
            </w:pPr>
            <w:r/>
            <w:r>
              <w:rPr>
                <w:b w:val="0"/>
                <w:sz w:val="14"/>
              </w:rPr>
              <w:t>0.04105153</w:t>
            </w:r>
          </w:p>
        </w:tc>
        <w:tc>
          <w:tcPr>
            <w:tcW w:type="dxa" w:w="2045"/>
            <w:vAlign w:val="center"/>
          </w:tcPr>
          <w:p>
            <w:pPr>
              <w:spacing w:after="20"/>
            </w:pPr>
            <w:r/>
            <w:r>
              <w:rPr>
                <w:b w:val="0"/>
                <w:sz w:val="14"/>
              </w:rPr>
              <w:t>0.850081</w:t>
            </w:r>
          </w:p>
        </w:tc>
      </w:tr>
      <w:tr>
        <w:trPr>
          <w:cantSplit/>
        </w:trPr>
        <w:tc>
          <w:tcPr>
            <w:tcW w:type="dxa" w:w="2045"/>
            <w:vAlign w:val="center"/>
          </w:tcPr>
          <w:p>
            <w:pPr>
              <w:spacing w:after="20"/>
            </w:pPr>
            <w:r/>
            <w:r>
              <w:rPr>
                <w:b w:val="0"/>
                <w:sz w:val="14"/>
              </w:rPr>
              <w:t>7</w:t>
            </w:r>
          </w:p>
        </w:tc>
        <w:tc>
          <w:tcPr>
            <w:tcW w:type="dxa" w:w="2045"/>
            <w:vAlign w:val="center"/>
          </w:tcPr>
          <w:p>
            <w:pPr>
              <w:spacing w:after="20"/>
            </w:pPr>
            <w:r/>
            <w:r>
              <w:rPr>
                <w:b w:val="0"/>
                <w:sz w:val="14"/>
              </w:rPr>
              <w:t>51010.540328</w:t>
            </w:r>
          </w:p>
        </w:tc>
        <w:tc>
          <w:tcPr>
            <w:tcW w:type="dxa" w:w="2045"/>
            <w:vAlign w:val="center"/>
          </w:tcPr>
          <w:p>
            <w:pPr>
              <w:spacing w:after="20"/>
            </w:pPr>
            <w:r/>
            <w:r>
              <w:rPr>
                <w:b w:val="0"/>
                <w:sz w:val="14"/>
              </w:rPr>
              <w:t>163176507440</w:t>
            </w:r>
          </w:p>
        </w:tc>
        <w:tc>
          <w:tcPr>
            <w:tcW w:type="dxa" w:w="2045"/>
            <w:vAlign w:val="center"/>
          </w:tcPr>
          <w:p>
            <w:pPr>
              <w:spacing w:after="20"/>
            </w:pPr>
            <w:r/>
            <w:r>
              <w:rPr>
                <w:b w:val="0"/>
                <w:sz w:val="14"/>
              </w:rPr>
              <w:t>0.03915229</w:t>
            </w:r>
          </w:p>
        </w:tc>
        <w:tc>
          <w:tcPr>
            <w:tcW w:type="dxa" w:w="2045"/>
            <w:vAlign w:val="center"/>
          </w:tcPr>
          <w:p>
            <w:pPr>
              <w:spacing w:after="20"/>
            </w:pPr>
            <w:r/>
            <w:r>
              <w:rPr>
                <w:b w:val="0"/>
                <w:sz w:val="14"/>
              </w:rPr>
              <w:t>0.767174</w:t>
            </w:r>
          </w:p>
        </w:tc>
      </w:tr>
      <w:tr>
        <w:trPr>
          <w:cantSplit/>
        </w:trPr>
        <w:tc>
          <w:tcPr>
            <w:tcW w:type="dxa" w:w="2045"/>
            <w:vAlign w:val="center"/>
          </w:tcPr>
          <w:p>
            <w:pPr>
              <w:spacing w:after="20"/>
            </w:pPr>
            <w:r/>
            <w:r>
              <w:rPr>
                <w:b w:val="0"/>
                <w:sz w:val="14"/>
              </w:rPr>
              <w:t>8</w:t>
            </w:r>
          </w:p>
        </w:tc>
        <w:tc>
          <w:tcPr>
            <w:tcW w:type="dxa" w:w="2045"/>
            <w:vAlign w:val="center"/>
          </w:tcPr>
          <w:p>
            <w:pPr>
              <w:spacing w:after="20"/>
            </w:pPr>
            <w:r/>
            <w:r>
              <w:rPr>
                <w:b w:val="0"/>
                <w:sz w:val="14"/>
              </w:rPr>
              <w:t>46481.072531</w:t>
            </w:r>
          </w:p>
        </w:tc>
        <w:tc>
          <w:tcPr>
            <w:tcW w:type="dxa" w:w="2045"/>
            <w:vAlign w:val="center"/>
          </w:tcPr>
          <w:p>
            <w:pPr>
              <w:spacing w:after="20"/>
            </w:pPr>
            <w:r/>
            <w:r>
              <w:rPr>
                <w:b w:val="0"/>
                <w:sz w:val="14"/>
              </w:rPr>
              <w:t>181169167061</w:t>
            </w:r>
          </w:p>
        </w:tc>
        <w:tc>
          <w:tcPr>
            <w:tcW w:type="dxa" w:w="2045"/>
            <w:vAlign w:val="center"/>
          </w:tcPr>
          <w:p>
            <w:pPr>
              <w:spacing w:after="20"/>
            </w:pPr>
            <w:r/>
            <w:r>
              <w:rPr>
                <w:b w:val="0"/>
                <w:sz w:val="14"/>
              </w:rPr>
              <w:t>0.03378744</w:t>
            </w:r>
          </w:p>
        </w:tc>
        <w:tc>
          <w:tcPr>
            <w:tcW w:type="dxa" w:w="2045"/>
            <w:vAlign w:val="center"/>
          </w:tcPr>
          <w:p>
            <w:pPr>
              <w:spacing w:after="20"/>
            </w:pPr>
            <w:r/>
            <w:r>
              <w:rPr>
                <w:b w:val="0"/>
                <w:sz w:val="14"/>
              </w:rPr>
              <w:t>0.897114</w:t>
            </w:r>
          </w:p>
        </w:tc>
      </w:tr>
      <w:tr>
        <w:trPr>
          <w:cantSplit/>
        </w:trPr>
        <w:tc>
          <w:tcPr>
            <w:tcW w:type="dxa" w:w="2045"/>
            <w:vAlign w:val="center"/>
          </w:tcPr>
          <w:p>
            <w:pPr>
              <w:spacing w:after="20"/>
            </w:pPr>
            <w:r/>
            <w:r>
              <w:rPr>
                <w:b w:val="0"/>
                <w:sz w:val="14"/>
              </w:rPr>
              <w:t>9</w:t>
            </w:r>
          </w:p>
        </w:tc>
        <w:tc>
          <w:tcPr>
            <w:tcW w:type="dxa" w:w="2045"/>
            <w:vAlign w:val="center"/>
          </w:tcPr>
          <w:p>
            <w:pPr>
              <w:spacing w:after="20"/>
            </w:pPr>
            <w:r/>
            <w:r>
              <w:rPr>
                <w:b w:val="0"/>
                <w:sz w:val="14"/>
              </w:rPr>
              <w:t>51182.6085312</w:t>
            </w:r>
          </w:p>
        </w:tc>
        <w:tc>
          <w:tcPr>
            <w:tcW w:type="dxa" w:w="2045"/>
            <w:vAlign w:val="center"/>
          </w:tcPr>
          <w:p>
            <w:pPr>
              <w:spacing w:after="20"/>
            </w:pPr>
            <w:r/>
            <w:r>
              <w:rPr>
                <w:b w:val="0"/>
                <w:sz w:val="14"/>
              </w:rPr>
              <w:t>150523599528</w:t>
            </w:r>
          </w:p>
        </w:tc>
        <w:tc>
          <w:tcPr>
            <w:tcW w:type="dxa" w:w="2045"/>
            <w:vAlign w:val="center"/>
          </w:tcPr>
          <w:p>
            <w:pPr>
              <w:spacing w:after="20"/>
            </w:pPr>
            <w:r/>
            <w:r>
              <w:rPr>
                <w:b w:val="0"/>
                <w:sz w:val="14"/>
              </w:rPr>
              <w:t>0.03812766</w:t>
            </w:r>
          </w:p>
        </w:tc>
        <w:tc>
          <w:tcPr>
            <w:tcW w:type="dxa" w:w="2045"/>
            <w:vAlign w:val="center"/>
          </w:tcPr>
          <w:p>
            <w:pPr>
              <w:spacing w:after="20"/>
            </w:pPr>
            <w:r/>
            <w:r>
              <w:rPr>
                <w:b w:val="0"/>
                <w:sz w:val="14"/>
              </w:rPr>
              <w:t>0.943592</w:t>
            </w:r>
          </w:p>
        </w:tc>
      </w:tr>
      <w:tr>
        <w:trPr>
          <w:cantSplit/>
        </w:trPr>
        <w:tc>
          <w:tcPr>
            <w:tcW w:type="dxa" w:w="2045"/>
            <w:vAlign w:val="center"/>
          </w:tcPr>
          <w:p>
            <w:pPr>
              <w:spacing w:after="20"/>
            </w:pPr>
            <w:r/>
            <w:r>
              <w:rPr>
                <w:b w:val="0"/>
                <w:sz w:val="14"/>
              </w:rPr>
              <w:t>10</w:t>
            </w:r>
          </w:p>
        </w:tc>
        <w:tc>
          <w:tcPr>
            <w:tcW w:type="dxa" w:w="2045"/>
            <w:vAlign w:val="center"/>
          </w:tcPr>
          <w:p>
            <w:pPr>
              <w:spacing w:after="20"/>
            </w:pPr>
            <w:r/>
            <w:r>
              <w:rPr>
                <w:b w:val="0"/>
                <w:sz w:val="14"/>
              </w:rPr>
              <w:t>53032.4518063</w:t>
            </w:r>
          </w:p>
        </w:tc>
        <w:tc>
          <w:tcPr>
            <w:tcW w:type="dxa" w:w="2045"/>
            <w:vAlign w:val="center"/>
          </w:tcPr>
          <w:p>
            <w:pPr>
              <w:spacing w:after="20"/>
            </w:pPr>
            <w:r/>
            <w:r>
              <w:rPr>
                <w:b w:val="0"/>
                <w:sz w:val="14"/>
              </w:rPr>
              <w:t>152542928221</w:t>
            </w:r>
          </w:p>
        </w:tc>
        <w:tc>
          <w:tcPr>
            <w:tcW w:type="dxa" w:w="2045"/>
            <w:vAlign w:val="center"/>
          </w:tcPr>
          <w:p>
            <w:pPr>
              <w:spacing w:after="20"/>
            </w:pPr>
            <w:r/>
            <w:r>
              <w:rPr>
                <w:b w:val="0"/>
                <w:sz w:val="14"/>
              </w:rPr>
              <w:t>0.03950027</w:t>
            </w:r>
          </w:p>
        </w:tc>
        <w:tc>
          <w:tcPr>
            <w:tcW w:type="dxa" w:w="2045"/>
            <w:vAlign w:val="center"/>
          </w:tcPr>
          <w:p>
            <w:pPr>
              <w:spacing w:after="20"/>
            </w:pPr>
            <w:r/>
            <w:r>
              <w:rPr>
                <w:b w:val="0"/>
                <w:sz w:val="14"/>
              </w:rPr>
              <w:t>0.888000</w:t>
            </w:r>
          </w:p>
        </w:tc>
      </w:tr>
    </w:tbl>
    <w:p>
      <w:pPr>
        <w:spacing w:after="20"/>
      </w:pPr>
    </w:p>
    <w:p>
      <w:pPr>
        <w:pStyle w:val="Heading1"/>
      </w:pPr>
      <w:r>
        <w:t>S6. Gadoxetate calibration scaffold</w:t>
      </w:r>
    </w:p>
    <w:p>
      <w:r>
        <w:t>The gadoxetate model is a separate three-state ODE system with a 24-hour simulation window. Amounts are in mmol for a 70 kg adult. The recommended dose is represented as 0.025 mmol/kg x 70 kg = 1.75 mmol. The label-inspired volume and clearance quantities are converted to an hour-based rate scale.</w:t>
      </w:r>
    </w:p>
    <w:p>
      <w:pPr>
        <w:spacing w:before="40" w:after="40"/>
        <w:jc w:val="center"/>
      </w:pPr>
      <w:r>
        <w:rPr>
          <w:rFonts w:ascii="Cambria Math" w:hAnsi="Cambria Math"/>
          <w:i/>
          <w:sz w:val="21"/>
        </w:rPr>
        <w:t>dP/dt = -(CL_renal/V_P)*renal*P - uptake*P + back*H</w:t>
      </w:r>
    </w:p>
    <w:p>
      <w:pPr>
        <w:spacing w:before="40" w:after="40"/>
        <w:jc w:val="center"/>
      </w:pPr>
      <w:r>
        <w:rPr>
          <w:rFonts w:ascii="Cambria Math" w:hAnsi="Cambria Math"/>
          <w:i/>
          <w:sz w:val="21"/>
        </w:rPr>
        <w:t>dH/dt = uptake*P - (back + bile)*H</w:t>
      </w:r>
    </w:p>
    <w:p>
      <w:pPr>
        <w:spacing w:before="40" w:after="40"/>
        <w:jc w:val="center"/>
      </w:pPr>
      <w:r>
        <w:rPr>
          <w:rFonts w:ascii="Cambria Math" w:hAnsi="Cambria Math"/>
          <w:i/>
          <w:sz w:val="21"/>
        </w:rPr>
        <w:t>dB/dt = bile*H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vAlign w:val="center"/>
            <w:shd w:fill="1F4E79"/>
          </w:tcPr>
          <w:p>
            <w:pPr>
              <w:spacing w:after="20"/>
            </w:pPr>
            <w:r>
              <w:rPr>
                <w:color w:val="FFFFFF"/>
              </w:rPr>
            </w:r>
            <w:r>
              <w:rPr>
                <w:b/>
                <w:sz w:val="16"/>
              </w:rPr>
              <w:t>Scenario</w:t>
            </w:r>
          </w:p>
        </w:tc>
        <w:tc>
          <w:tcPr>
            <w:tcW w:type="dxa" w:w="1704"/>
            <w:vAlign w:val="center"/>
            <w:shd w:fill="1F4E79"/>
          </w:tcPr>
          <w:p>
            <w:pPr>
              <w:spacing w:after="20"/>
            </w:pPr>
            <w:r>
              <w:rPr>
                <w:color w:val="FFFFFF"/>
              </w:rPr>
            </w:r>
            <w:r>
              <w:rPr>
                <w:b/>
                <w:sz w:val="16"/>
              </w:rPr>
              <w:t>uptake</w:t>
            </w:r>
          </w:p>
        </w:tc>
        <w:tc>
          <w:tcPr>
            <w:tcW w:type="dxa" w:w="1704"/>
            <w:vAlign w:val="center"/>
            <w:shd w:fill="1F4E79"/>
          </w:tcPr>
          <w:p>
            <w:pPr>
              <w:spacing w:after="20"/>
            </w:pPr>
            <w:r>
              <w:rPr>
                <w:color w:val="FFFFFF"/>
              </w:rPr>
            </w:r>
            <w:r>
              <w:rPr>
                <w:b/>
                <w:sz w:val="16"/>
              </w:rPr>
              <w:t>back</w:t>
            </w:r>
          </w:p>
        </w:tc>
        <w:tc>
          <w:tcPr>
            <w:tcW w:type="dxa" w:w="1704"/>
            <w:vAlign w:val="center"/>
            <w:shd w:fill="1F4E79"/>
          </w:tcPr>
          <w:p>
            <w:pPr>
              <w:spacing w:after="20"/>
            </w:pPr>
            <w:r>
              <w:rPr>
                <w:color w:val="FFFFFF"/>
              </w:rPr>
            </w:r>
            <w:r>
              <w:rPr>
                <w:b/>
                <w:sz w:val="16"/>
              </w:rPr>
              <w:t>bile</w:t>
            </w:r>
          </w:p>
        </w:tc>
        <w:tc>
          <w:tcPr>
            <w:tcW w:type="dxa" w:w="1704"/>
            <w:vAlign w:val="center"/>
            <w:shd w:fill="1F4E79"/>
          </w:tcPr>
          <w:p>
            <w:pPr>
              <w:spacing w:after="20"/>
            </w:pPr>
            <w:r>
              <w:rPr>
                <w:color w:val="FFFFFF"/>
              </w:rPr>
            </w:r>
            <w:r>
              <w:rPr>
                <w:b/>
                <w:sz w:val="16"/>
              </w:rPr>
              <w:t>renal factor</w:t>
            </w:r>
          </w:p>
        </w:tc>
        <w:tc>
          <w:tcPr>
            <w:tcW w:type="dxa" w:w="1704"/>
            <w:vAlign w:val="center"/>
            <w:shd w:fill="1F4E79"/>
          </w:tcPr>
          <w:p>
            <w:pPr>
              <w:spacing w:after="20"/>
            </w:pPr>
            <w:r>
              <w:rPr>
                <w:color w:val="FFFFFF"/>
              </w:rPr>
            </w:r>
            <w:r>
              <w:rPr>
                <w:b/>
                <w:sz w:val="16"/>
              </w:rPr>
              <w:t>Purpose</w:t>
            </w:r>
          </w:p>
        </w:tc>
      </w:tr>
      <w:tr>
        <w:trPr>
          <w:cantSplit/>
        </w:trPr>
        <w:tc>
          <w:tcPr>
            <w:tcW w:type="dxa" w:w="1704"/>
            <w:vAlign w:val="center"/>
          </w:tcPr>
          <w:p>
            <w:pPr>
              <w:spacing w:after="20"/>
            </w:pPr>
            <w:r/>
            <w:r>
              <w:rPr>
                <w:b w:val="0"/>
                <w:sz w:val="16"/>
              </w:rPr>
              <w:t>Healthy</w:t>
            </w:r>
          </w:p>
        </w:tc>
        <w:tc>
          <w:tcPr>
            <w:tcW w:type="dxa" w:w="1704"/>
            <w:vAlign w:val="center"/>
          </w:tcPr>
          <w:p>
            <w:pPr>
              <w:spacing w:after="20"/>
            </w:pPr>
            <w:r/>
            <w:r>
              <w:rPr>
                <w:b w:val="0"/>
                <w:sz w:val="16"/>
              </w:rPr>
              <w:t>1.10</w:t>
            </w:r>
          </w:p>
        </w:tc>
        <w:tc>
          <w:tcPr>
            <w:tcW w:type="dxa" w:w="1704"/>
            <w:vAlign w:val="center"/>
          </w:tcPr>
          <w:p>
            <w:pPr>
              <w:spacing w:after="20"/>
            </w:pPr>
            <w:r/>
            <w:r>
              <w:rPr>
                <w:b w:val="0"/>
                <w:sz w:val="16"/>
              </w:rPr>
              <w:t>0.12</w:t>
            </w:r>
          </w:p>
        </w:tc>
        <w:tc>
          <w:tcPr>
            <w:tcW w:type="dxa" w:w="1704"/>
            <w:vAlign w:val="center"/>
          </w:tcPr>
          <w:p>
            <w:pPr>
              <w:spacing w:after="20"/>
            </w:pPr>
            <w:r/>
            <w:r>
              <w:rPr>
                <w:b w:val="0"/>
                <w:sz w:val="16"/>
              </w:rPr>
              <w:t>0.112</w:t>
            </w:r>
          </w:p>
        </w:tc>
        <w:tc>
          <w:tcPr>
            <w:tcW w:type="dxa" w:w="1704"/>
            <w:vAlign w:val="center"/>
          </w:tcPr>
          <w:p>
            <w:pPr>
              <w:spacing w:after="20"/>
            </w:pPr>
            <w:r/>
            <w:r>
              <w:rPr>
                <w:b w:val="0"/>
                <w:sz w:val="16"/>
              </w:rPr>
              <w:t>1.00</w:t>
            </w:r>
          </w:p>
        </w:tc>
        <w:tc>
          <w:tcPr>
            <w:tcW w:type="dxa" w:w="1704"/>
            <w:vAlign w:val="center"/>
          </w:tcPr>
          <w:p>
            <w:pPr>
              <w:spacing w:after="20"/>
            </w:pPr>
            <w:r/>
            <w:r>
              <w:rPr>
                <w:b w:val="0"/>
                <w:sz w:val="16"/>
              </w:rPr>
              <w:t>Approximate 50:50 renal/hepatobiliary recovery</w:t>
            </w:r>
          </w:p>
        </w:tc>
      </w:tr>
      <w:tr>
        <w:trPr>
          <w:cantSplit/>
        </w:trPr>
        <w:tc>
          <w:tcPr>
            <w:tcW w:type="dxa" w:w="1704"/>
            <w:vAlign w:val="center"/>
          </w:tcPr>
          <w:p>
            <w:pPr>
              <w:spacing w:after="20"/>
            </w:pPr>
            <w:r/>
            <w:r>
              <w:rPr>
                <w:b w:val="0"/>
                <w:sz w:val="16"/>
              </w:rPr>
              <w:t>MASL/MASH exploratory</w:t>
            </w:r>
          </w:p>
        </w:tc>
        <w:tc>
          <w:tcPr>
            <w:tcW w:type="dxa" w:w="1704"/>
            <w:vAlign w:val="center"/>
          </w:tcPr>
          <w:p>
            <w:pPr>
              <w:spacing w:after="20"/>
            </w:pPr>
            <w:r/>
            <w:r>
              <w:rPr>
                <w:b w:val="0"/>
                <w:sz w:val="16"/>
              </w:rPr>
              <w:t>0.88</w:t>
            </w:r>
          </w:p>
        </w:tc>
        <w:tc>
          <w:tcPr>
            <w:tcW w:type="dxa" w:w="1704"/>
            <w:vAlign w:val="center"/>
          </w:tcPr>
          <w:p>
            <w:pPr>
              <w:spacing w:after="20"/>
            </w:pPr>
            <w:r/>
            <w:r>
              <w:rPr>
                <w:b w:val="0"/>
                <w:sz w:val="16"/>
              </w:rPr>
              <w:t>0.16</w:t>
            </w:r>
          </w:p>
        </w:tc>
        <w:tc>
          <w:tcPr>
            <w:tcW w:type="dxa" w:w="1704"/>
            <w:vAlign w:val="center"/>
          </w:tcPr>
          <w:p>
            <w:pPr>
              <w:spacing w:after="20"/>
            </w:pPr>
            <w:r/>
            <w:r>
              <w:rPr>
                <w:b w:val="0"/>
                <w:sz w:val="16"/>
              </w:rPr>
              <w:t>0.090</w:t>
            </w:r>
          </w:p>
        </w:tc>
        <w:tc>
          <w:tcPr>
            <w:tcW w:type="dxa" w:w="1704"/>
            <w:vAlign w:val="center"/>
          </w:tcPr>
          <w:p>
            <w:pPr>
              <w:spacing w:after="20"/>
            </w:pPr>
            <w:r/>
            <w:r>
              <w:rPr>
                <w:b w:val="0"/>
                <w:sz w:val="16"/>
              </w:rPr>
              <w:t>1.00</w:t>
            </w:r>
          </w:p>
        </w:tc>
        <w:tc>
          <w:tcPr>
            <w:tcW w:type="dxa" w:w="1704"/>
            <w:vAlign w:val="center"/>
          </w:tcPr>
          <w:p>
            <w:pPr>
              <w:spacing w:after="20"/>
            </w:pPr>
            <w:r/>
            <w:r>
              <w:rPr>
                <w:b w:val="0"/>
                <w:sz w:val="16"/>
              </w:rPr>
              <w:t>Reduced uptake and biliary handling</w:t>
            </w:r>
          </w:p>
        </w:tc>
      </w:tr>
      <w:tr>
        <w:trPr>
          <w:cantSplit/>
        </w:trPr>
        <w:tc>
          <w:tcPr>
            <w:tcW w:type="dxa" w:w="1704"/>
            <w:vAlign w:val="center"/>
          </w:tcPr>
          <w:p>
            <w:pPr>
              <w:spacing w:after="20"/>
            </w:pPr>
            <w:r/>
            <w:r>
              <w:rPr>
                <w:b w:val="0"/>
                <w:sz w:val="16"/>
              </w:rPr>
              <w:t>Severe hepatic impairment</w:t>
            </w:r>
          </w:p>
        </w:tc>
        <w:tc>
          <w:tcPr>
            <w:tcW w:type="dxa" w:w="1704"/>
            <w:vAlign w:val="center"/>
          </w:tcPr>
          <w:p>
            <w:pPr>
              <w:spacing w:after="20"/>
            </w:pPr>
            <w:r/>
            <w:r>
              <w:rPr>
                <w:b w:val="0"/>
                <w:sz w:val="16"/>
              </w:rPr>
              <w:t>0.35</w:t>
            </w:r>
          </w:p>
        </w:tc>
        <w:tc>
          <w:tcPr>
            <w:tcW w:type="dxa" w:w="1704"/>
            <w:vAlign w:val="center"/>
          </w:tcPr>
          <w:p>
            <w:pPr>
              <w:spacing w:after="20"/>
            </w:pPr>
            <w:r/>
            <w:r>
              <w:rPr>
                <w:b w:val="0"/>
                <w:sz w:val="16"/>
              </w:rPr>
              <w:t>0.24</w:t>
            </w:r>
          </w:p>
        </w:tc>
        <w:tc>
          <w:tcPr>
            <w:tcW w:type="dxa" w:w="1704"/>
            <w:vAlign w:val="center"/>
          </w:tcPr>
          <w:p>
            <w:pPr>
              <w:spacing w:after="20"/>
            </w:pPr>
            <w:r/>
            <w:r>
              <w:rPr>
                <w:b w:val="0"/>
                <w:sz w:val="16"/>
              </w:rPr>
              <w:t>0.025</w:t>
            </w:r>
          </w:p>
        </w:tc>
        <w:tc>
          <w:tcPr>
            <w:tcW w:type="dxa" w:w="1704"/>
            <w:vAlign w:val="center"/>
          </w:tcPr>
          <w:p>
            <w:pPr>
              <w:spacing w:after="20"/>
            </w:pPr>
            <w:r/>
            <w:r>
              <w:rPr>
                <w:b w:val="0"/>
                <w:sz w:val="16"/>
              </w:rPr>
              <w:t>1.30</w:t>
            </w:r>
          </w:p>
        </w:tc>
        <w:tc>
          <w:tcPr>
            <w:tcW w:type="dxa" w:w="1704"/>
            <w:vAlign w:val="center"/>
          </w:tcPr>
          <w:p>
            <w:pPr>
              <w:spacing w:after="20"/>
            </w:pPr>
            <w:r/>
            <w:r>
              <w:rPr>
                <w:b w:val="0"/>
                <w:sz w:val="16"/>
              </w:rPr>
              <w:t>Approximate 5% hepatobiliary recovery</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1F4E79"/>
          </w:tcPr>
          <w:p>
            <w:pPr>
              <w:spacing w:after="20"/>
            </w:pPr>
            <w:r>
              <w:rPr>
                <w:color w:val="FFFFFF"/>
              </w:rPr>
            </w:r>
            <w:r>
              <w:rPr>
                <w:b/>
                <w:sz w:val="16"/>
              </w:rPr>
              <w:t>Fixed quantity</w:t>
            </w:r>
          </w:p>
        </w:tc>
        <w:tc>
          <w:tcPr>
            <w:tcW w:type="dxa" w:w="5112"/>
            <w:vAlign w:val="center"/>
            <w:shd w:fill="1F4E79"/>
          </w:tcPr>
          <w:p>
            <w:pPr>
              <w:spacing w:after="20"/>
            </w:pPr>
            <w:r>
              <w:rPr>
                <w:color w:val="FFFFFF"/>
              </w:rPr>
            </w:r>
            <w:r>
              <w:rPr>
                <w:b/>
                <w:sz w:val="16"/>
              </w:rPr>
              <w:t>Value</w:t>
            </w:r>
          </w:p>
        </w:tc>
      </w:tr>
      <w:tr>
        <w:trPr>
          <w:cantSplit/>
        </w:trPr>
        <w:tc>
          <w:tcPr>
            <w:tcW w:type="dxa" w:w="5112"/>
            <w:vAlign w:val="center"/>
          </w:tcPr>
          <w:p>
            <w:pPr>
              <w:spacing w:after="20"/>
            </w:pPr>
            <w:r/>
            <w:r>
              <w:rPr>
                <w:b w:val="0"/>
                <w:sz w:val="16"/>
              </w:rPr>
              <w:t>Body mass</w:t>
            </w:r>
          </w:p>
        </w:tc>
        <w:tc>
          <w:tcPr>
            <w:tcW w:type="dxa" w:w="5112"/>
            <w:vAlign w:val="center"/>
          </w:tcPr>
          <w:p>
            <w:pPr>
              <w:spacing w:after="20"/>
            </w:pPr>
            <w:r/>
            <w:r>
              <w:rPr>
                <w:b w:val="0"/>
                <w:sz w:val="16"/>
              </w:rPr>
              <w:t>70 kg</w:t>
            </w:r>
          </w:p>
        </w:tc>
      </w:tr>
      <w:tr>
        <w:trPr>
          <w:cantSplit/>
        </w:trPr>
        <w:tc>
          <w:tcPr>
            <w:tcW w:type="dxa" w:w="5112"/>
            <w:vAlign w:val="center"/>
          </w:tcPr>
          <w:p>
            <w:pPr>
              <w:spacing w:after="20"/>
            </w:pPr>
            <w:r/>
            <w:r>
              <w:rPr>
                <w:b w:val="0"/>
                <w:sz w:val="16"/>
              </w:rPr>
              <w:t>Dose</w:t>
            </w:r>
          </w:p>
        </w:tc>
        <w:tc>
          <w:tcPr>
            <w:tcW w:type="dxa" w:w="5112"/>
            <w:vAlign w:val="center"/>
          </w:tcPr>
          <w:p>
            <w:pPr>
              <w:spacing w:after="20"/>
            </w:pPr>
            <w:r/>
            <w:r>
              <w:rPr>
                <w:b w:val="0"/>
                <w:sz w:val="16"/>
              </w:rPr>
              <w:t>1.75 mmol</w:t>
            </w:r>
          </w:p>
        </w:tc>
      </w:tr>
      <w:tr>
        <w:trPr>
          <w:cantSplit/>
        </w:trPr>
        <w:tc>
          <w:tcPr>
            <w:tcW w:type="dxa" w:w="5112"/>
            <w:vAlign w:val="center"/>
          </w:tcPr>
          <w:p>
            <w:pPr>
              <w:spacing w:after="20"/>
            </w:pPr>
            <w:r/>
            <w:r>
              <w:rPr>
                <w:b w:val="0"/>
                <w:sz w:val="16"/>
              </w:rPr>
              <w:t>Vd approximation</w:t>
            </w:r>
          </w:p>
        </w:tc>
        <w:tc>
          <w:tcPr>
            <w:tcW w:type="dxa" w:w="5112"/>
            <w:vAlign w:val="center"/>
          </w:tcPr>
          <w:p>
            <w:pPr>
              <w:spacing w:after="20"/>
            </w:pPr>
            <w:r/>
            <w:r>
              <w:rPr>
                <w:b w:val="0"/>
                <w:sz w:val="16"/>
              </w:rPr>
              <w:t>0.21 L/kg x 70 kg = 14.7 L</w:t>
            </w:r>
          </w:p>
        </w:tc>
      </w:tr>
      <w:tr>
        <w:trPr>
          <w:cantSplit/>
        </w:trPr>
        <w:tc>
          <w:tcPr>
            <w:tcW w:type="dxa" w:w="5112"/>
            <w:vAlign w:val="center"/>
          </w:tcPr>
          <w:p>
            <w:pPr>
              <w:spacing w:after="20"/>
            </w:pPr>
            <w:r/>
            <w:r>
              <w:rPr>
                <w:b w:val="0"/>
                <w:sz w:val="16"/>
              </w:rPr>
              <w:t>Total clearance</w:t>
            </w:r>
          </w:p>
        </w:tc>
        <w:tc>
          <w:tcPr>
            <w:tcW w:type="dxa" w:w="5112"/>
            <w:vAlign w:val="center"/>
          </w:tcPr>
          <w:p>
            <w:pPr>
              <w:spacing w:after="20"/>
            </w:pPr>
            <w:r/>
            <w:r>
              <w:rPr>
                <w:b w:val="0"/>
                <w:sz w:val="16"/>
              </w:rPr>
              <w:t>0.250 L/min x 60 = 15.0 L/h</w:t>
            </w:r>
          </w:p>
        </w:tc>
      </w:tr>
      <w:tr>
        <w:trPr>
          <w:cantSplit/>
        </w:trPr>
        <w:tc>
          <w:tcPr>
            <w:tcW w:type="dxa" w:w="5112"/>
            <w:vAlign w:val="center"/>
          </w:tcPr>
          <w:p>
            <w:pPr>
              <w:spacing w:after="20"/>
            </w:pPr>
            <w:r/>
            <w:r>
              <w:rPr>
                <w:b w:val="0"/>
                <w:sz w:val="16"/>
              </w:rPr>
              <w:t>Renal clearance</w:t>
            </w:r>
          </w:p>
        </w:tc>
        <w:tc>
          <w:tcPr>
            <w:tcW w:type="dxa" w:w="5112"/>
            <w:vAlign w:val="center"/>
          </w:tcPr>
          <w:p>
            <w:pPr>
              <w:spacing w:after="20"/>
            </w:pPr>
            <w:r/>
            <w:r>
              <w:rPr>
                <w:b w:val="0"/>
                <w:sz w:val="16"/>
              </w:rPr>
              <w:t>0.120 L/min x 60 = 7.2 L/h</w:t>
            </w:r>
          </w:p>
        </w:tc>
      </w:tr>
      <w:tr>
        <w:trPr>
          <w:cantSplit/>
        </w:trPr>
        <w:tc>
          <w:tcPr>
            <w:tcW w:type="dxa" w:w="5112"/>
            <w:vAlign w:val="center"/>
          </w:tcPr>
          <w:p>
            <w:pPr>
              <w:spacing w:after="20"/>
            </w:pPr>
            <w:r/>
            <w:r>
              <w:rPr>
                <w:b w:val="0"/>
                <w:sz w:val="16"/>
              </w:rPr>
              <w:t>Hepatic remainder</w:t>
            </w:r>
          </w:p>
        </w:tc>
        <w:tc>
          <w:tcPr>
            <w:tcW w:type="dxa" w:w="5112"/>
            <w:vAlign w:val="center"/>
          </w:tcPr>
          <w:p>
            <w:pPr>
              <w:spacing w:after="20"/>
            </w:pPr>
            <w:r/>
            <w:r>
              <w:rPr>
                <w:b w:val="0"/>
                <w:sz w:val="16"/>
              </w:rPr>
              <w:t>7.8 L/h</w:t>
            </w:r>
          </w:p>
        </w:tc>
      </w:tr>
      <w:tr>
        <w:trPr>
          <w:cantSplit/>
        </w:trPr>
        <w:tc>
          <w:tcPr>
            <w:tcW w:type="dxa" w:w="5112"/>
            <w:vAlign w:val="center"/>
          </w:tcPr>
          <w:p>
            <w:pPr>
              <w:spacing w:after="20"/>
            </w:pPr>
            <w:r/>
            <w:r>
              <w:rPr>
                <w:b w:val="0"/>
                <w:sz w:val="16"/>
              </w:rPr>
              <w:t>Time grid</w:t>
            </w:r>
          </w:p>
        </w:tc>
        <w:tc>
          <w:tcPr>
            <w:tcW w:type="dxa" w:w="5112"/>
            <w:vAlign w:val="center"/>
          </w:tcPr>
          <w:p>
            <w:pPr>
              <w:spacing w:after="20"/>
            </w:pPr>
            <w:r/>
            <w:r>
              <w:rPr>
                <w:b w:val="0"/>
                <w:sz w:val="16"/>
              </w:rPr>
              <w:t>0-24 h; 2401 points</w:t>
            </w:r>
          </w:p>
        </w:tc>
      </w:tr>
    </w:tbl>
    <w:p>
      <w:pPr>
        <w:spacing w:after="20"/>
      </w:pPr>
    </w:p>
    <w:p>
      <w:pPr>
        <w:pStyle w:val="Heading1"/>
      </w:pPr>
      <w:r>
        <w:t>S7. Analysis design and endpoints</w:t>
      </w:r>
    </w:p>
    <w:p>
      <w:r>
        <w:t>The counterfactual comparison holds the mean spatial capacity constant and compares zonated versus well-mixed fields. Primary quantities are bile AUC, hepatocyte parent AUC, bile Cmax, time to bile Cmax, peak injury, and terminal injury.</w:t>
      </w:r>
    </w:p>
    <w:p>
      <w:r>
        <w:t>A reproducible transporter stress test compares each disease state with its own baseline. At 50% uptake activity, bile-AUC ratios are 0.501, 0.502, and 0.502 for control, MASL, and MASH, while local parent-pool AUC ratios are 0.480, 0.480, and 0.482. At MRP2 activity of 0.35, bile-AUC ratios are 0.964, 0.939, and 0.911, while local parent-pool AUC ratios remain 1.000. These are normalized model outputs; they are not plasma AUC ratios or clinical DDI predictions because the current prototype has no full plasma victim-drug compartment.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1F4E79"/>
          </w:tcPr>
          <w:p>
            <w:pPr>
              <w:spacing w:after="20"/>
            </w:pPr>
            <w:r>
              <w:rPr>
                <w:color w:val="FFFFFF"/>
              </w:rPr>
            </w:r>
            <w:r>
              <w:rPr>
                <w:b/>
                <w:sz w:val="16"/>
              </w:rPr>
              <w:t>Analysis</w:t>
            </w:r>
          </w:p>
        </w:tc>
        <w:tc>
          <w:tcPr>
            <w:tcW w:type="dxa" w:w="3408"/>
            <w:vAlign w:val="center"/>
            <w:shd w:fill="1F4E79"/>
          </w:tcPr>
          <w:p>
            <w:pPr>
              <w:spacing w:after="20"/>
            </w:pPr>
            <w:r>
              <w:rPr>
                <w:color w:val="FFFFFF"/>
              </w:rPr>
            </w:r>
            <w:r>
              <w:rPr>
                <w:b/>
                <w:sz w:val="16"/>
              </w:rPr>
              <w:t>Scenarios / ranges</w:t>
            </w:r>
          </w:p>
        </w:tc>
        <w:tc>
          <w:tcPr>
            <w:tcW w:type="dxa" w:w="3408"/>
            <w:vAlign w:val="center"/>
            <w:shd w:fill="1F4E79"/>
          </w:tcPr>
          <w:p>
            <w:pPr>
              <w:spacing w:after="20"/>
            </w:pPr>
            <w:r>
              <w:rPr>
                <w:color w:val="FFFFFF"/>
              </w:rPr>
            </w:r>
            <w:r>
              <w:rPr>
                <w:b/>
                <w:sz w:val="16"/>
              </w:rPr>
              <w:t>Output</w:t>
            </w:r>
          </w:p>
        </w:tc>
      </w:tr>
      <w:tr>
        <w:trPr>
          <w:cantSplit/>
        </w:trPr>
        <w:tc>
          <w:tcPr>
            <w:tcW w:type="dxa" w:w="3408"/>
            <w:vAlign w:val="center"/>
          </w:tcPr>
          <w:p>
            <w:pPr>
              <w:spacing w:after="20"/>
            </w:pPr>
            <w:r/>
            <w:r>
              <w:rPr>
                <w:b w:val="0"/>
                <w:sz w:val="16"/>
              </w:rPr>
              <w:t>Counterfactual</w:t>
            </w:r>
          </w:p>
        </w:tc>
        <w:tc>
          <w:tcPr>
            <w:tcW w:type="dxa" w:w="3408"/>
            <w:vAlign w:val="center"/>
          </w:tcPr>
          <w:p>
            <w:pPr>
              <w:spacing w:after="20"/>
            </w:pPr>
            <w:r/>
            <w:r>
              <w:rPr>
                <w:b w:val="0"/>
                <w:sz w:val="16"/>
              </w:rPr>
              <w:t>Zonated vs well mixed; baseline, 50% uptake inhibition, 65% MRP2 inhibition</w:t>
            </w:r>
          </w:p>
        </w:tc>
        <w:tc>
          <w:tcPr>
            <w:tcW w:type="dxa" w:w="3408"/>
            <w:vAlign w:val="center"/>
          </w:tcPr>
          <w:p>
            <w:pPr>
              <w:spacing w:after="20"/>
            </w:pPr>
            <w:r/>
            <w:r>
              <w:rPr>
                <w:b w:val="0"/>
                <w:sz w:val="16"/>
              </w:rPr>
              <w:t>Relative bile and hepatocyte AUC differences</w:t>
            </w:r>
          </w:p>
        </w:tc>
      </w:tr>
      <w:tr>
        <w:trPr>
          <w:cantSplit/>
        </w:trPr>
        <w:tc>
          <w:tcPr>
            <w:tcW w:type="dxa" w:w="3408"/>
            <w:vAlign w:val="center"/>
          </w:tcPr>
          <w:p>
            <w:pPr>
              <w:spacing w:after="20"/>
            </w:pPr>
            <w:r/>
            <w:r>
              <w:rPr>
                <w:b w:val="0"/>
                <w:sz w:val="16"/>
              </w:rPr>
              <w:t>Scenario grid</w:t>
            </w:r>
          </w:p>
        </w:tc>
        <w:tc>
          <w:tcPr>
            <w:tcW w:type="dxa" w:w="3408"/>
            <w:vAlign w:val="center"/>
          </w:tcPr>
          <w:p>
            <w:pPr>
              <w:spacing w:after="20"/>
            </w:pPr>
            <w:r/>
            <w:r>
              <w:rPr>
                <w:b w:val="0"/>
                <w:sz w:val="16"/>
              </w:rPr>
              <w:t>MRP2 = 1.0 or 0.35; obstruction = 0 or 0.5</w:t>
            </w:r>
          </w:p>
        </w:tc>
        <w:tc>
          <w:tcPr>
            <w:tcW w:type="dxa" w:w="3408"/>
            <w:vAlign w:val="center"/>
          </w:tcPr>
          <w:p>
            <w:pPr>
              <w:spacing w:after="20"/>
            </w:pPr>
            <w:r/>
            <w:r>
              <w:rPr>
                <w:b w:val="0"/>
                <w:sz w:val="16"/>
              </w:rPr>
              <w:t>Bile Cmax, AUC, tmax, peak and terminal injury</w:t>
            </w:r>
          </w:p>
        </w:tc>
      </w:tr>
      <w:tr>
        <w:trPr>
          <w:cantSplit/>
        </w:trPr>
        <w:tc>
          <w:tcPr>
            <w:tcW w:type="dxa" w:w="3408"/>
            <w:vAlign w:val="center"/>
          </w:tcPr>
          <w:p>
            <w:pPr>
              <w:spacing w:after="20"/>
            </w:pPr>
            <w:r/>
            <w:r>
              <w:rPr>
                <w:b w:val="0"/>
                <w:sz w:val="16"/>
              </w:rPr>
              <w:t>LHS sensitivity</w:t>
            </w:r>
          </w:p>
        </w:tc>
        <w:tc>
          <w:tcPr>
            <w:tcW w:type="dxa" w:w="3408"/>
            <w:vAlign w:val="center"/>
          </w:tcPr>
          <w:p>
            <w:pPr>
              <w:spacing w:after="20"/>
            </w:pPr>
            <w:r/>
            <w:r>
              <w:rPr>
                <w:b w:val="0"/>
                <w:sz w:val="16"/>
              </w:rPr>
              <w:t>160 samples per normal-control/steatosis profile; MRP2 0.20-1.20; obstruction 0-0.75</w:t>
            </w:r>
          </w:p>
        </w:tc>
        <w:tc>
          <w:tcPr>
            <w:tcW w:type="dxa" w:w="3408"/>
            <w:vAlign w:val="center"/>
          </w:tcPr>
          <w:p>
            <w:pPr>
              <w:spacing w:after="20"/>
            </w:pPr>
            <w:r/>
            <w:r>
              <w:rPr>
                <w:b w:val="0"/>
                <w:sz w:val="16"/>
              </w:rPr>
              <w:t>Exposure and injury distributions</w:t>
            </w:r>
          </w:p>
        </w:tc>
      </w:tr>
      <w:tr>
        <w:trPr>
          <w:cantSplit/>
        </w:trPr>
        <w:tc>
          <w:tcPr>
            <w:tcW w:type="dxa" w:w="3408"/>
            <w:vAlign w:val="center"/>
          </w:tcPr>
          <w:p>
            <w:pPr>
              <w:spacing w:after="20"/>
            </w:pPr>
            <w:r/>
            <w:r>
              <w:rPr>
                <w:b w:val="0"/>
                <w:sz w:val="16"/>
              </w:rPr>
              <w:t>Gadoxetate</w:t>
            </w:r>
          </w:p>
        </w:tc>
        <w:tc>
          <w:tcPr>
            <w:tcW w:type="dxa" w:w="3408"/>
            <w:vAlign w:val="center"/>
          </w:tcPr>
          <w:p>
            <w:pPr>
              <w:spacing w:after="20"/>
            </w:pPr>
            <w:r/>
            <w:r>
              <w:rPr>
                <w:b w:val="0"/>
                <w:sz w:val="16"/>
              </w:rPr>
              <w:t>Healthy, exploratory MASL/MASH, severe impairment</w:t>
            </w:r>
          </w:p>
        </w:tc>
        <w:tc>
          <w:tcPr>
            <w:tcW w:type="dxa" w:w="3408"/>
            <w:vAlign w:val="center"/>
          </w:tcPr>
          <w:p>
            <w:pPr>
              <w:spacing w:after="20"/>
            </w:pPr>
            <w:r/>
            <w:r>
              <w:rPr>
                <w:b w:val="0"/>
                <w:sz w:val="16"/>
              </w:rPr>
              <w:t>24-hour route recovery and amount-time curves</w:t>
            </w:r>
          </w:p>
        </w:tc>
      </w:tr>
    </w:tbl>
    <w:p>
      <w:pPr>
        <w:spacing w:after="20"/>
      </w:pPr>
    </w:p>
    <w:p>
      <w:pPr>
        <w:pStyle w:val="Heading1"/>
      </w:pPr>
      <w:r>
        <w:t>S8. Code map and reproducibility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1F4E79"/>
          </w:tcPr>
          <w:p>
            <w:pPr>
              <w:spacing w:after="20"/>
            </w:pPr>
            <w:r>
              <w:rPr>
                <w:color w:val="FFFFFF"/>
              </w:rPr>
            </w:r>
            <w:r>
              <w:rPr>
                <w:b/>
                <w:sz w:val="16"/>
              </w:rPr>
              <w:t>File</w:t>
            </w:r>
          </w:p>
        </w:tc>
        <w:tc>
          <w:tcPr>
            <w:tcW w:type="dxa" w:w="5112"/>
            <w:vAlign w:val="center"/>
            <w:shd w:fill="1F4E79"/>
          </w:tcPr>
          <w:p>
            <w:pPr>
              <w:spacing w:after="20"/>
            </w:pPr>
            <w:r>
              <w:rPr>
                <w:color w:val="FFFFFF"/>
              </w:rPr>
            </w:r>
            <w:r>
              <w:rPr>
                <w:b/>
                <w:sz w:val="16"/>
              </w:rPr>
              <w:t>Role</w:t>
            </w:r>
          </w:p>
        </w:tc>
      </w:tr>
      <w:tr>
        <w:trPr>
          <w:cantSplit/>
        </w:trPr>
        <w:tc>
          <w:tcPr>
            <w:tcW w:type="dxa" w:w="5112"/>
            <w:vAlign w:val="center"/>
          </w:tcPr>
          <w:p>
            <w:pPr>
              <w:spacing w:after="20"/>
            </w:pPr>
            <w:r/>
            <w:r>
              <w:rPr>
                <w:b w:val="0"/>
                <w:sz w:val="16"/>
              </w:rPr>
              <w:t>couple_michael_bileflow.py</w:t>
            </w:r>
          </w:p>
        </w:tc>
        <w:tc>
          <w:tcPr>
            <w:tcW w:type="dxa" w:w="5112"/>
            <w:vAlign w:val="center"/>
          </w:tcPr>
          <w:p>
            <w:pPr>
              <w:spacing w:after="20"/>
            </w:pPr>
            <w:r/>
            <w:r>
              <w:rPr>
                <w:b w:val="0"/>
                <w:sz w:val="16"/>
              </w:rPr>
              <w:t>Defines input profiles, ten-position mapping, disease factors, ODE, obstruction, export, bile advection, and injury feedback.</w:t>
            </w:r>
          </w:p>
        </w:tc>
      </w:tr>
      <w:tr>
        <w:trPr>
          <w:cantSplit/>
        </w:trPr>
        <w:tc>
          <w:tcPr>
            <w:tcW w:type="dxa" w:w="5112"/>
            <w:vAlign w:val="center"/>
          </w:tcPr>
          <w:p>
            <w:pPr>
              <w:spacing w:after="20"/>
            </w:pPr>
            <w:r/>
            <w:r>
              <w:rPr>
                <w:b w:val="0"/>
                <w:sz w:val="16"/>
              </w:rPr>
              <w:t>zonated_transport_genes.py</w:t>
            </w:r>
          </w:p>
        </w:tc>
        <w:tc>
          <w:tcPr>
            <w:tcW w:type="dxa" w:w="5112"/>
            <w:vAlign w:val="center"/>
          </w:tcPr>
          <w:p>
            <w:pPr>
              <w:spacing w:after="20"/>
            </w:pPr>
            <w:r/>
            <w:r>
              <w:rPr>
                <w:b w:val="0"/>
                <w:sz w:val="16"/>
              </w:rPr>
              <w:t>Stores four-zone gene-level relative fields and aggregates uptake, canalicular, escape, and ductular capacities.</w:t>
            </w:r>
          </w:p>
        </w:tc>
      </w:tr>
      <w:tr>
        <w:trPr>
          <w:cantSplit/>
        </w:trPr>
        <w:tc>
          <w:tcPr>
            <w:tcW w:type="dxa" w:w="5112"/>
            <w:vAlign w:val="center"/>
          </w:tcPr>
          <w:p>
            <w:pPr>
              <w:spacing w:after="20"/>
            </w:pPr>
            <w:r/>
            <w:r>
              <w:rPr>
                <w:b w:val="0"/>
                <w:sz w:val="16"/>
              </w:rPr>
              <w:t>compare_zonated_wellmixed.py</w:t>
            </w:r>
          </w:p>
        </w:tc>
        <w:tc>
          <w:tcPr>
            <w:tcW w:type="dxa" w:w="5112"/>
            <w:vAlign w:val="center"/>
          </w:tcPr>
          <w:p>
            <w:pPr>
              <w:spacing w:after="20"/>
            </w:pPr>
            <w:r/>
            <w:r>
              <w:rPr>
                <w:b w:val="0"/>
                <w:sz w:val="16"/>
              </w:rPr>
              <w:t>Runs the mean-preserving spatial counterfactual and writes main-manuscript Figure 2 plus metric CSV.</w:t>
            </w:r>
          </w:p>
        </w:tc>
      </w:tr>
      <w:tr>
        <w:trPr>
          <w:cantSplit/>
        </w:trPr>
        <w:tc>
          <w:tcPr>
            <w:tcW w:type="dxa" w:w="5112"/>
            <w:vAlign w:val="center"/>
          </w:tcPr>
          <w:p>
            <w:pPr>
              <w:spacing w:after="20"/>
            </w:pPr>
            <w:r/>
            <w:r>
              <w:rPr>
                <w:b w:val="0"/>
                <w:sz w:val="16"/>
              </w:rPr>
              <w:t>run_jpkpd_analysis.py</w:t>
            </w:r>
          </w:p>
        </w:tc>
        <w:tc>
          <w:tcPr>
            <w:tcW w:type="dxa" w:w="5112"/>
            <w:vAlign w:val="center"/>
          </w:tcPr>
          <w:p>
            <w:pPr>
              <w:spacing w:after="20"/>
            </w:pPr>
            <w:r/>
            <w:r>
              <w:rPr>
                <w:b w:val="0"/>
                <w:sz w:val="16"/>
              </w:rPr>
              <w:t>Runs scenario grids and seeded Latin-hypercube sensitivity analysis; writes main-manuscript Figure 3 and CSV outputs.</w:t>
            </w:r>
          </w:p>
        </w:tc>
      </w:tr>
      <w:tr>
        <w:trPr>
          <w:cantSplit/>
        </w:trPr>
        <w:tc>
          <w:tcPr>
            <w:tcW w:type="dxa" w:w="5112"/>
            <w:vAlign w:val="center"/>
          </w:tcPr>
          <w:p>
            <w:pPr>
              <w:spacing w:after="20"/>
            </w:pPr>
            <w:r/>
            <w:r>
              <w:rPr>
                <w:b w:val="0"/>
                <w:sz w:val="16"/>
              </w:rPr>
              <w:t>simulate_gadoxetate_pk.py</w:t>
            </w:r>
          </w:p>
        </w:tc>
        <w:tc>
          <w:tcPr>
            <w:tcW w:type="dxa" w:w="5112"/>
            <w:vAlign w:val="center"/>
          </w:tcPr>
          <w:p>
            <w:pPr>
              <w:spacing w:after="20"/>
            </w:pPr>
            <w:r/>
            <w:r>
              <w:rPr>
                <w:b w:val="0"/>
                <w:sz w:val="16"/>
              </w:rPr>
              <w:t>Runs the separate plasma-hepatocyte-bile calibration scaffold and writes main-manuscript Figure 4 and CSV outputs.</w:t>
            </w:r>
          </w:p>
        </w:tc>
      </w:tr>
      <w:tr>
        <w:trPr>
          <w:cantSplit/>
        </w:trPr>
        <w:tc>
          <w:tcPr>
            <w:tcW w:type="dxa" w:w="5112"/>
            <w:vAlign w:val="center"/>
          </w:tcPr>
          <w:p>
            <w:pPr>
              <w:spacing w:after="20"/>
            </w:pPr>
            <w:r/>
            <w:r>
              <w:rPr>
                <w:b w:val="0"/>
                <w:sz w:val="16"/>
              </w:rPr>
              <w:t>render_ddi_efficacy_figure.py</w:t>
            </w:r>
          </w:p>
        </w:tc>
        <w:tc>
          <w:tcPr>
            <w:tcW w:type="dxa" w:w="5112"/>
            <w:vAlign w:val="center"/>
          </w:tcPr>
          <w:p>
            <w:pPr>
              <w:spacing w:after="20"/>
            </w:pPr>
            <w:r/>
            <w:r>
              <w:rPr>
                <w:b w:val="0"/>
                <w:sz w:val="16"/>
              </w:rPr>
              <w:t>Plots the transporter stress-test ratios and the illustrative efficacy-mapping extension used in main-manuscript Figure 5.</w:t>
            </w:r>
          </w:p>
        </w:tc>
      </w:tr>
      <w:tr>
        <w:trPr>
          <w:cantSplit/>
        </w:trPr>
        <w:tc>
          <w:tcPr>
            <w:tcW w:type="dxa" w:w="5112"/>
            <w:vAlign w:val="center"/>
          </w:tcPr>
          <w:p>
            <w:pPr>
              <w:spacing w:after="20"/>
            </w:pPr>
            <w:r/>
            <w:r>
              <w:rPr>
                <w:b w:val="0"/>
                <w:sz w:val="16"/>
              </w:rPr>
              <w:t>create_second_paper_draft.py</w:t>
            </w:r>
          </w:p>
        </w:tc>
        <w:tc>
          <w:tcPr>
            <w:tcW w:type="dxa" w:w="5112"/>
            <w:vAlign w:val="center"/>
          </w:tcPr>
          <w:p>
            <w:pPr>
              <w:spacing w:after="20"/>
            </w:pPr>
            <w:r/>
            <w:r>
              <w:rPr>
                <w:b w:val="0"/>
                <w:sz w:val="16"/>
              </w:rPr>
              <w:t>Builds the main manuscript DOCX and inserts the five main figures.</w:t>
            </w:r>
          </w:p>
        </w:tc>
      </w:tr>
      <w:tr>
        <w:trPr>
          <w:cantSplit/>
        </w:trPr>
        <w:tc>
          <w:tcPr>
            <w:tcW w:type="dxa" w:w="5112"/>
            <w:vAlign w:val="center"/>
          </w:tcPr>
          <w:p>
            <w:pPr>
              <w:spacing w:after="20"/>
            </w:pPr>
            <w:r/>
            <w:r>
              <w:rPr>
                <w:b w:val="0"/>
                <w:sz w:val="16"/>
              </w:rPr>
              <w:t>create_supplementary_information.py</w:t>
            </w:r>
          </w:p>
        </w:tc>
        <w:tc>
          <w:tcPr>
            <w:tcW w:type="dxa" w:w="5112"/>
            <w:vAlign w:val="center"/>
          </w:tcPr>
          <w:p>
            <w:pPr>
              <w:spacing w:after="20"/>
            </w:pPr>
            <w:r/>
            <w:r>
              <w:rPr>
                <w:b w:val="0"/>
                <w:sz w:val="16"/>
              </w:rPr>
              <w:t>Builds this supplementary document and its model architecture diagram.</w:t>
            </w:r>
          </w:p>
        </w:tc>
      </w:tr>
    </w:tbl>
    <w:p>
      <w:pPr>
        <w:spacing w:after="20"/>
      </w:pPr>
    </w:p>
    <w:p>
      <w:r>
        <w:t>From the project root, run compare_zonated_wellmixed.py, run_jpkpd_analysis.py, simulate_gadoxetate_pk.py, and render_ddi_efficacy_figure.py to regenerate numerical outputs and figures. Then run create_second_paper_draft.py and create_supplementary_information.py to regenerate the DOCX files. The sensitivity generator uses numpy.random.default_rng(20260927).</w:t>
      </w:r>
    </w:p>
    <w:p>
      <w:r>
        <w:t>The model is intentionally transparent rather than clinically validated. The next calibration release should replace relative transporter fields with zone-resolved protein or functional measurements, retain uncertainty distributions, and test predictions against independent gadoxetate and transporter-probe data.</w:t>
      </w:r>
    </w:p>
    <w:p>
      <w:pPr>
        <w:pStyle w:val="Heading1"/>
      </w:pPr>
      <w:r>
        <w:t>S9. Relationship to the main manuscript</w:t>
      </w:r>
    </w:p>
    <w:p>
      <w:r>
        <w:t>Figure S1 and the parameter tables provide implementation detail for the Methods and Results sections. The main manuscript reports normalized outputs and interprets them as structural-sensitivity results. No supplementary parameter should be interpreted as a clinical concentration, patient-specific coefficient, or validated toxicity threshold.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