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/>
          <w:color w:val="B2182B"/>
          <w:sz w:val="20"/>
        </w:rPr>
        <w:t>TECHNICAL COMPARISON REPORT</w:t>
      </w:r>
    </w:p>
    <w:p>
      <w:pPr>
        <w:pStyle w:val="Title"/>
      </w:pPr>
      <w:r>
        <w:t>CULBM 密度流 force-aware SGS 对比评估报告</w:t>
      </w:r>
    </w:p>
    <w:p>
      <w:pPr>
        <w:pStyle w:val="Subtitle"/>
      </w:pPr>
      <w:r>
        <w:t>D3Q19/D3Q19 | Smagorinsky-Lilly | GPU 双卡 | h=12.5 m</w:t>
      </w:r>
    </w:p>
    <w:p>
      <w:r>
        <w:t>Build: d465f05  |  Solver SHA-256: 4004BCCE...E79342  |  2026-08-01</w:t>
      </w:r>
    </w:p>
    <w:p>
      <w:pPr>
        <w:pStyle w:val="Heading1"/>
      </w:pPr>
      <w:r>
        <w:t>技术摘要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2166AC"/>
          <w:left w:val="single" w:sz="10" w:space="0" w:color="2166AC"/>
          <w:bottom w:val="single" w:sz="10" w:space="0" w:color="2166AC"/>
          <w:right w:val="single" w:sz="10" w:space="0" w:color="2166AC"/>
          <w:insideH w:val="single" w:sz="10" w:space="0" w:color="2166AC"/>
          <w:insideV w:val="single" w:sz="10" w:space="0" w:color="2166A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before="60" w:after="60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22"/>
              </w:rPr>
              <w:t>校验判定：</w:t>
            </w:r>
            <w:r>
              <w:rPr>
                <w:rFonts w:ascii="Times New Roman" w:hAnsi="Times New Roman" w:eastAsia="Times New Roman" w:cs="Times New Roman"/>
                <w:b/>
                <w:color w:val="163A5F"/>
                <w:sz w:val="22"/>
              </w:rPr>
              <w:t>未通过正式物理校验：最终 900 s 运行完整、有限且正密度，SGS 内核与标量耦合均有效，但同模型 GEA Smagorinsky 前缘差为 -6.43%（5% 门槛：未通过），全程峰值 Mach=0.281（Ma&lt;=0.1 守则：未通过）。因此本报告确认功能、结构与性能，不把当前 dt=0.05 s 结果认证为最终弱可压 LES 解。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6E5"/>
          <w:left w:val="single" w:sz="6" w:space="0" w:color="C8D6E5"/>
          <w:bottom w:val="single" w:sz="6" w:space="0" w:color="C8D6E5"/>
          <w:right w:val="single" w:sz="6" w:space="0" w:color="C8D6E5"/>
          <w:insideH w:val="single" w:sz="6" w:space="0" w:color="C8D6E5"/>
          <w:insideV w:val="single" w:sz="6" w:space="0" w:color="C8D6E5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EAF7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2166AC"/>
                <w:sz w:val="36"/>
              </w:rPr>
              <w:t>14.983 km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SGS 终态前缘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-6.43%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相对 GEA Smag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DDE1"/>
          </w:tcPr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B2182B"/>
                <w:sz w:val="36"/>
              </w:rPr>
              <w:t>0.281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63A5F"/>
                <w:sz w:val="18"/>
              </w:rPr>
              <w:t>全程 max Mach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截面显示，SGS 相比 AV75 h=12.5 m 明显恢复更多卷吸、剪切层起伏和多涡结构；但形态更丰富不等于定量更准确。GEA 只有出版栅格，没有原始场，因此不能计算逐点误差或严格能谱。</w:t>
      </w:r>
    </w:p>
    <w:p>
      <w:r>
        <w:rPr>
          <w:rFonts w:ascii="Times New Roman" w:hAnsi="Times New Roman" w:eastAsia="Times New Roman" w:cs="Times New Roman"/>
        </w:rPr>
        <w:t>性能结论独立成立：匹配 FP32 A/B 中，SGS-on 吞吐中位比为 1.0029，最差运行比为 0.9742，即观察到的最差性能下降约 2.58%，远小于 50% 上限。</w:t>
      </w:r>
    </w:p>
    <w:p>
      <w:r>
        <w:br w:type="page"/>
      </w:r>
    </w:p>
    <w:p>
      <w:pPr>
        <w:pStyle w:val="Heading1"/>
      </w:pPr>
      <w:r>
        <w:t>1. 范围、方法与可比性</w:t>
      </w:r>
    </w:p>
    <w:p>
      <w:r>
        <w:rPr>
          <w:rFonts w:ascii="Times New Roman" w:hAnsi="Times New Roman" w:eastAsia="Times New Roman" w:cs="Times New Roman"/>
        </w:rPr>
        <w:t>主对象是修正后的 force-aware 常系数 Smagorinsky-Lilly：动量 D3Q19、温度 D3Q19、SRT、FP32 DDF，Cs^2=0.453989945（Cs=0.67378775961）、Pr_t=1，GPU 分解 2x1x1。报告还保留 h=12.5 m AV75/no-SGS 与 h=5 m AV75/no-SGS 作为内部策略和网格对照。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2980"/>
        <w:gridCol w:w="1700"/>
        <w:gridCol w:w="298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物理域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25.6 km x 6.4 km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网格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2050 x 4 x 514 (含 ghost)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h / dt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12.5 m / 0.05 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总时长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900 s / 18000 步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SGS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Smagorinsky-Lilly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Cs^2 / Pr_t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0.453989945 / 1.0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基础 nu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0.104183948 m2/s (FP32 tau floor)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热 alpha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0.104183948 m2/s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前缘定义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首层 z=6.25 m, theta'=-1 K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插值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x 方向线性插值</w:t>
            </w:r>
          </w:p>
        </w:tc>
      </w:tr>
      <w:tr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执行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2 GPU, kernel SGS</w:t>
            </w:r>
          </w:p>
        </w:tc>
        <w:tc>
          <w:tcPr>
            <w:tcW w:type="dxa" w:w="1700"/>
            <w:shd w:fill="DC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薄向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8"/>
              </w:rPr>
              <w:t>Ny=4, 周期, 准二维</w:t>
            </w:r>
          </w:p>
        </w:tc>
      </w:tr>
    </w:tbl>
    <w:p>
      <w:pPr>
        <w:pStyle w:val="Heading2"/>
      </w:pPr>
      <w:r>
        <w:t>比较边界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Smagorinsky/kEqn 为可压缩干空气总能量 FVM LES；CULBM 为弱可压 Boussinesq 类 LBM，控制方程并不等价。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h=12.5 m AV75 与 SGS 的基础黏性、dt 和闭合同时变化，因此是策略比较，不是单变量因果 A/B。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h=5 m 对照采用 z=6.25 m 垂向插值前缘；截面显示用严格 2x2 平均到 10 m，定量结构代理统一到 25 m。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GEA 截面由论文嵌入栅格按原色条近似反演并统一重绘为 icefire，只用于形态对照。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732520" cy="4434901"/>
            <wp:docPr id="1" name="Picture 1" descr="Four-time density-current comparison between published GEA LES rasters and the force-aware CULBM SGS field." title="figure_1_gea_vs_sgs_sections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gea_vs_sgs_sections_icefi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43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1  GEA Smagorinsky、GEA kEqn 出版栅格与最终 CULBM SGS 原始场的四时刻形态对照。统一 icefire、[-15,0] K、x=0-17 km、z=0-4.8 km；GEA 栅格仅作定性证据。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8732520" cy="4434901"/>
            <wp:docPr id="2" name="Picture 2" descr="Four-time CULBM comparison among AV75 h=12.5 m, SGS h=12.5 m, and AV75 h=5 m." title="figure_2_culbm_strategy_sections_icefi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culbm_strategy_sections_icefi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43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2  CULBM 内部策略/分辨率截面对照。h=12.5 m AV75、h=12.5 m SGS 与 h=5 m AV75 使用相同色标；h=5 列为严格 2x2 显示平均，不能视为同网格 A/B。</w:t>
      </w:r>
    </w:p>
    <w:p>
      <w:pPr>
        <w:sectPr>
          <w:headerReference w:type="default" r:id="rId14"/>
          <w:footerReference w:type="default" r:id="rId15"/>
          <w:pgSz w:w="15840" w:h="12240" w:orient="landscape"/>
          <w:pgMar w:top="936" w:right="936" w:bottom="936" w:left="936" w:header="708" w:footer="708" w:gutter="0"/>
          <w:cols w:space="720"/>
          <w:docGrid w:linePitch="360"/>
        </w:sectPr>
      </w:pPr>
    </w:p>
    <w:p>
      <w:pPr>
        <w:pStyle w:val="Heading1"/>
      </w:pPr>
      <w:r>
        <w:t>2. 前缘统计：同模型参考未过 5%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929105"/>
            <wp:docPr id="3" name="Picture 3" descr="Near-ground front-location comparison at 900 seconds." title="figure_3_front_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front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9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3  t=900 s 近地面 theta'=-1 K 前缘。误差线为论文/网格离散区间，不是置信区间。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200"/>
        <w:gridCol w:w="1400"/>
        <w:gridCol w:w="1900"/>
        <w:gridCol w:w="1400"/>
        <w:gridCol w:w="14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前缘 (km)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离散区间 (km)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SGS 相对差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5% 评级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SGS h=12.5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14.9826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[14.9812, 14.9938]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内部对照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AV75 h=12.5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15.7045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[15.6937, 15.7063]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内部对照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CULBM AV75 h=5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15.9373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[15.9325, 15.9375]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内部对照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Smagorinsky h=12.5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16.0130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[16.0000, 16.0260]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-6.43%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未通过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GEA kEqn h=12.5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15.6545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[15.6420, 15.6670]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-4.29%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通过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Marras et al. h=12.5 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15.0560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点值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-0.49%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通过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最终 SGS 相对 GEA Smagorinsky、GEA kEqn 和 Marras 的差异分别为 -6.43%、-4.29% 和 -0.49%。它对 kEqn 与 Marras 满足 5% 工程容差，但对同闭合的 GEA Smagorinsky 超出 5%，因此不能给出同模型通过结论。</w:t>
      </w:r>
    </w:p>
    <w:p>
      <w:pPr>
        <w:pStyle w:val="Heading1"/>
      </w:pPr>
      <w:r>
        <w:t>3. 小尺度结构：明显增加，但只能作为代理证据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57665"/>
            <wp:docPr id="4" name="Picture 4" descr="Resolved-structure proxies on a common 25 m grid." title="figure_5_structural_prox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structural_prox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5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4  统一 25 m 网格上的温度梯度、二维涡量、短波能量比例和冷池周长代理。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1900"/>
        <w:gridCol w:w="1750"/>
        <w:gridCol w:w="1750"/>
        <w:gridCol w:w="1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t=900 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grad theta RMS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vorticity RMS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lambda&lt;=500 m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冷池周长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 h=12.5 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2.949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0.00941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0.586%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52.85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SGS h=12.5 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10.430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0.01869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11.500%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106.60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AV75 h=5 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2.932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0.00944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0.550%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51.90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这些指标在相同 25 m 聚合网格上计算，能回答“解析场中是否出现更多短尺度变化”，但不能回答“SGS 是否还原了真实湍流谱”。Ny=4 的薄周期挤出是准二维基准，且文献原始场不可用，因此不报告严格三维湍流级联、谱误差或逐点相关。</w:t>
      </w:r>
    </w:p>
    <w:p>
      <w:pPr>
        <w:pStyle w:val="Heading1"/>
      </w:pPr>
      <w:r>
        <w:t>4. SGS 演化与数值健康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33691"/>
            <wp:docPr id="5" name="Picture 5" descr="SGS, Mach-number, front, and scalar RMS diagnostics." title="figure_4_sgs_diagnost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sgs_diagnostic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33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5  前缘、Mach、SGS 涡黏度与温度 RMS 历程。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00"/>
        <w:gridCol w:w="4860"/>
        <w:gridCol w:w="210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观测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完成性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18000/18000 步，900 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有限/正密度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rho_min=0.959033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薄向一致性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max y spread=0.000e+00 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SGS 统计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4,194,304 cells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通过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全程 max Mach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0.2808 (guardrail 0.1)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未通过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终态 nu_t mean/max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0.5955 / 13.3773 m2/s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7"/>
              </w:rPr>
              <w:t>记录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Ma 超限是本报告最主要的数值风险。它并不表示字段已经发散，但会削弱弱可压 LBM 的低 Mach 近似。在 dt=0.025 s 的同网格敏感性控制完成前，900 s SGS 结果应标为诊断性比较，而非最终认证。</w:t>
      </w:r>
    </w:p>
    <w:p>
      <w:pPr>
        <w:pStyle w:val="Heading1"/>
      </w:pPr>
      <w:r>
        <w:t>5. 性能与 force-aware 修正影响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63440" cy="2003224"/>
            <wp:docPr id="6" name="Picture 6" descr="Matched FP32 SGS on/off throughput ratios." title="figure_6_performa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erform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003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Times New Roman" w:hAnsi="Times New Roman" w:eastAsia="Times New Roman" w:cs="Times New Roman"/>
          <w:i/>
          <w:color w:val="667085"/>
          <w:sz w:val="18"/>
        </w:rPr>
        <w:t>图 6  匹配 FP32 稳态 GPU A/B 的 SGS-on / SGS-off 吞吐比。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550"/>
        <w:gridCol w:w="1950"/>
        <w:gridCol w:w="3000"/>
        <w:gridCol w:w="1860"/>
      </w:tblGrid>
      <w:tr>
        <w:trPr>
          <w:tblHeader w:val="true"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性能指标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SGS-on/off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解释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FP32 中位吞吐比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1.00286370459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+0.286%（测量噪声范围）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通过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FP32 最差运行比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0.974227430413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-2.577%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通过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用户上限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&gt;=0.50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不得折半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通过</w:t>
            </w:r>
          </w:p>
        </w:tc>
      </w:tr>
    </w:tbl>
    <w:p>
      <w:pPr>
        <w:spacing w:after="0"/>
      </w:pPr>
    </w:p>
    <w:p>
      <w:pPr>
        <w:pStyle w:val="Heading2"/>
      </w:pPr>
      <w:r>
        <w:t>Guo force-aware 非平衡应力修正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450"/>
        <w:gridCol w:w="2000"/>
        <w:gridCol w:w="2200"/>
        <w:gridCol w:w="27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修正前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修正后/项目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63A5F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6"/>
              </w:rPr>
              <w:t>差异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t=100 s max speed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17.043642702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17.043719072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+0.000448%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t=100 s nu_t mean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pre-force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force-aware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+0.02032%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t=100 s nu_t max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pre-force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force-aware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-0.02041%</w:t>
            </w:r>
          </w:p>
        </w:tc>
      </w:tr>
      <w:t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0-100 s max |delta|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max speed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nu_t mean / max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1F2933"/>
                <w:sz w:val="16"/>
              </w:rPr>
              <w:t>0.00219% / 0.06469% / 0.02813%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</w:rPr>
        <w:t>前 100 s 的数值影响小于 0.07%，但该修正仍是物理一致性要求。900 s 正式图表全部来自修正后内核，没有用短时接近来替代长期重跑。</w:t>
      </w:r>
    </w:p>
    <w:p>
      <w:r>
        <w:br w:type="page"/>
      </w:r>
    </w:p>
    <w:p>
      <w:pPr>
        <w:pStyle w:val="Heading1"/>
      </w:pPr>
      <w:r>
        <w:t>6. 结论与下一步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功能：GPU Smagorinsky 动量 SGS、D3Q19 标量 SGS、force-aware 应力与诊断统计均在完整 900 s 运行中工作。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结构：相较 AV75 h=12.5 m，SGS 解析出更多小尺度；统一 25 m 代理指标支持“结构增加”，但不构成三维 LES 谱校验。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统计：终态前缘 14.9826 km；对 GEA Smagorinsky 差 -6.43%，同模型 5% 判据未通过。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数值健康：有限、正密度、薄向一致；但峰值 Ma=0.281，当前 dt=0.05 s 不满足 Ma&lt;=0.1 守则。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性能：FP32 最差观察下降 2.58%，满足“不折半”约束。</w:t>
      </w:r>
    </w:p>
    <w:p>
      <w:pPr>
        <w:pStyle w:val="ListBullet"/>
      </w:pPr>
      <w:r>
        <w:rPr>
          <w:rFonts w:ascii="Times New Roman" w:hAnsi="Times New Roman" w:eastAsia="Times New Roman" w:cs="Times New Roman"/>
        </w:rPr>
        <w:t>下一步优先运行 h=12.5 m、dt=0.025 s 的 force-aware SGS 时间步控制；之后再决定是否调整 Cs、tau floor 或采用动态/壁面适配闭合。</w:t>
      </w:r>
    </w:p>
    <w:p>
      <w:pPr>
        <w:pStyle w:val="Heading2"/>
      </w:pPr>
      <w:r>
        <w:t>参考与证据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Girfoglio, Quaini &amp; Rozza (2023), A pressure-based solver for atmospheric flows, arXiv:2302.04836: Figures 9/13 and Table 3. GEA reports Cs^2=0.454 for the density-current Smagorinsky case. Published rasters are used qualitatively only.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Final CULBM run: C:\1_Development\LatticeUrbanWind\core\cfd_core\CULBM\test-output\density-current-sgs-forceaware-h12p5-dt0p05-full-20260801_211208. Solver SHA-256: 4004BCCE5286A71AB988F3B4BD3D8D905351FF5D69BFBAF3435970BA47E79342. Git commit: d465f0551db2e5848c4585ab029a396cd4ab4164.</w:t>
      </w:r>
    </w:p>
    <w:p>
      <w:pPr>
        <w:pStyle w:val="SmallSource"/>
      </w:pPr>
      <w:r>
        <w:rPr>
          <w:rFonts w:ascii="Times New Roman" w:hAnsi="Times New Roman" w:eastAsia="Times New Roman" w:cs="Times New Roman"/>
          <w:color w:val="667085"/>
          <w:sz w:val="17"/>
        </w:rPr>
        <w:t>Structural proxies: strict 25 m aggregation; theta gradient/vorticity/short-wave/cold-pool definitions are recorded in the report analysis methodology. No unpublished GEA field is inferred.</w:t>
      </w:r>
    </w:p>
    <w:sectPr w:rsidR="00FC693F" w:rsidRPr="0006063C" w:rsidSect="00034616">
      <w:headerReference w:type="default" r:id="rId17"/>
      <w:footerReference w:type="default" r:id="rId1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3968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984"/>
      <w:gridCol w:w="6984"/>
    </w:tblGrid>
    <w:tr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6984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Times New Roman" w:hAnsi="Times New Roman" w:eastAsia="Times New Roman" w:cs="Times New Roman"/>
              <w:color w:val="667085"/>
              <w:sz w:val="17"/>
            </w:rPr>
            <w:t>LatticeUrbanWind / CULBM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Times New Roman" w:hAnsi="Times New Roman" w:eastAsia="Times New Roman" w:cs="Times New Roman"/>
              <w:color w:val="667085"/>
              <w:sz w:val="17"/>
            </w:rPr>
            <w:t xml:space="preserve">Page </w:t>
          </w:r>
          <w:r>
            <w:rPr>
              <w:rFonts w:ascii="Times New Roman" w:hAnsi="Times New Roman" w:eastAsia="Times New Roman" w:cs="Times New Roma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SGS Comparison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SGS Comparison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SGS Comparison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CEAF7"/>
      </w:pBdr>
    </w:pPr>
    <w:r>
      <w:rPr>
        <w:rFonts w:ascii="Times New Roman" w:hAnsi="Times New Roman" w:eastAsia="Times New Roman" w:cs="Times New Roman"/>
        <w:b/>
        <w:color w:val="163A5F"/>
        <w:sz w:val="17"/>
      </w:rPr>
    </w:r>
    <w:r>
      <w:rPr>
        <w:rFonts w:ascii="Times New Roman" w:hAnsi="Times New Roman" w:eastAsia="Times New Roman" w:cs="Times New Roman"/>
        <w:b/>
        <w:color w:val="163A5F"/>
        <w:sz w:val="17"/>
      </w:rPr>
      <w:t>CULBM  |  Density Current SGS Comparison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eastAsia="Times New Roman" w:cs="Times New Roman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2166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B218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2166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Times New Roman" w:hAnsi="Times New Roman" w:eastAsia="Times New Roman" w:cs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160"/>
      <w:jc w:val="center"/>
    </w:pPr>
    <w:rPr>
      <w:rFonts w:ascii="Times New Roman" w:hAnsi="Times New Roman" w:eastAsia="Times New Roman" w:cs="Times New Roman"/>
      <w:b w:val="0"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Source">
    <w:name w:val="Small Source"/>
    <w:pPr>
      <w:spacing w:before="80" w:after="80" w:line="240" w:lineRule="auto"/>
    </w:pPr>
    <w:rPr>
      <w:rFonts w:ascii="Times New Roman" w:hAnsi="Times New Roman" w:eastAsia="Times New Roman" w:cs="Times New Roman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image" Target="media/image2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CULBM 密度流 force-aware SGS 对比评估报告</dc:title>
  <dc:subject>D3Q19/D3Q19 Smagorinsky SGS comparison</dc:subject>
  <dc:creator>LatticeUrbanWind / CULBM</dc:creator>
  <cp:keywords>CULBM, LBM, SGS, LES, density current, D3Q19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