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/>
      </w:pP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/>
          <w:color w:val="B2182B"/>
          <w:sz w:val="22"/>
        </w:rPr>
        <w:t>TECHNICAL VALIDATION REPORT</w:t>
      </w:r>
    </w:p>
    <w:p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color w:val="163A5F"/>
          <w:sz w:val="56"/>
        </w:rPr>
        <w:t>CULBM 密度流高分辨率数值校验报告</w:t>
      </w:r>
    </w:p>
    <w:p>
      <w:pPr>
        <w:pStyle w:val="Subtitle"/>
        <w:jc w:val="center"/>
      </w:pPr>
      <w:r>
        <w:rPr>
          <w:rFonts w:ascii="Times New Roman" w:hAnsi="Times New Roman" w:eastAsia="Times New Roman" w:cs="Times New Roman"/>
          <w:color w:val="2166AC"/>
          <w:sz w:val="28"/>
        </w:rPr>
        <w:t>最细网格 D3Q19 高精度方案</w:t>
      </w:r>
    </w:p>
    <w:p>
      <w:pPr>
        <w:spacing w:before="80" w:after="440"/>
        <w:pBdr>
          <w:bottom w:val="single" w:sz="16" w:space="6" w:color="B2182B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18"/>
              </w:rPr>
              <w:t>REPORT 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color w:val="163A5F"/>
                <w:sz w:val="21"/>
              </w:rPr>
              <w:t>CULBM-VAL-DC-20260801-R1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18"/>
              </w:rPr>
              <w:t>CASE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color w:val="163A5F"/>
                <w:sz w:val="21"/>
              </w:rPr>
              <w:t>Straka density-current benchmark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18"/>
              </w:rPr>
              <w:t>PLATFORM METHOD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color w:val="163A5F"/>
                <w:sz w:val="21"/>
              </w:rPr>
              <w:t>h = 12.5 m; dt = 0.025 s; D3Q19 / SRT / FP32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18"/>
              </w:rPr>
              <w:t>ENGINEERING RATING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/>
                <w:color w:val="163A5F"/>
                <w:sz w:val="21"/>
              </w:rPr>
              <w:t>GOOD / PASS (front-location criterion)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18"/>
              </w:rPr>
              <w:t>ISSUED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imes New Roman" w:hAnsi="Times New Roman" w:eastAsia="Times New Roman" w:cs="Times New Roman"/>
                <w:b w:val="0"/>
                <w:color w:val="163A5F"/>
                <w:sz w:val="21"/>
              </w:rPr>
              <w:t>1 August 2026</w:t>
            </w:r>
          </w:p>
        </w:tc>
      </w:tr>
    </w:tbl>
    <w:p>
      <w:pPr>
        <w:spacing w:before="1400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9"/>
        </w:rPr>
        <w:t>Prepared for LatticeUrbanWind / CULBM</w:t>
      </w:r>
    </w:p>
    <w:p>
      <w:r>
        <w:br w:type="page"/>
      </w:r>
    </w:p>
    <w:p>
      <w:pPr>
        <w:pStyle w:val="Heading1"/>
      </w:pPr>
      <w:r>
        <w:t>技术摘要</w:t>
      </w:r>
    </w:p>
    <w:p>
      <w:r>
        <w:rPr>
          <w:rFonts w:ascii="Times New Roman" w:hAnsi="Times New Roman" w:eastAsia="Times New Roman" w:cs="Times New Roman"/>
        </w:rPr>
        <w:t>本报告只评价平台当前最细网格的密度流高精度方案：h=12.5 m、dt=0.025 s，动量与温度均采用 D3Q19，SRT 碰撞、FP32 分布函数、无亚格子模型。算例完整推进至 900 s，预测冷池前缘为 15.7045 km。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6E5"/>
          <w:left w:val="single" w:sz="6" w:space="0" w:color="C8D6E5"/>
          <w:bottom w:val="single" w:sz="6" w:space="0" w:color="C8D6E5"/>
          <w:right w:val="single" w:sz="6" w:space="0" w:color="C8D6E5"/>
          <w:insideH w:val="single" w:sz="6" w:space="0" w:color="C8D6E5"/>
          <w:insideV w:val="single" w:sz="6" w:space="0" w:color="C8D6E5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15.7045 km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平台 900 s 前缘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36"/>
              </w:rPr>
              <w:t>0.32%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最接近参考相对差异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36"/>
              </w:rPr>
              <w:t>3 / 3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同分辨率参考通过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相对 GEA Smagorinsky、GEA kEqn 以及 Marras 等（2015）三个 h=12.5 m 文献基准，平台前缘差异分别为 -1.93%、+0.32%、+4.31%。其中 3/3 项满足本报告预先声明的 |差异|≤5% 工程判据。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166AC"/>
          <w:left w:val="single" w:sz="10" w:space="0" w:color="2166AC"/>
          <w:bottom w:val="single" w:sz="10" w:space="0" w:color="2166AC"/>
          <w:right w:val="single" w:sz="10" w:space="0" w:color="2166AC"/>
          <w:insideH w:val="single" w:sz="10" w:space="0" w:color="2166AC"/>
          <w:insideV w:val="single" w:sz="10" w:space="0" w:color="2166A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before="60" w:after="60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22"/>
              </w:rPr>
              <w:t>校验判定：</w:t>
            </w:r>
            <w:r>
              <w:rPr>
                <w:rFonts w:ascii="Times New Roman" w:hAnsi="Times New Roman" w:eastAsia="Times New Roman" w:cs="Times New Roman"/>
                <w:b/>
                <w:color w:val="163A5F"/>
                <w:sz w:val="22"/>
              </w:rPr>
              <w:t>密度流前缘传播指标评价为“良好 / 通过”。该结论限定于工程尺度前缘位置；截面场只支持定性形态比较。</w:t>
            </w:r>
          </w:p>
        </w:tc>
      </w:tr>
    </w:tbl>
    <w:p>
      <w:r>
        <w:rPr>
          <w:rFonts w:ascii="Times New Roman" w:hAnsi="Times New Roman" w:eastAsia="Times New Roman" w:cs="Times New Roman"/>
          <w:b/>
        </w:rPr>
        <w:t>证据边界：</w:t>
      </w:r>
      <w:r>
        <w:rPr>
          <w:rFonts w:ascii="Times New Roman" w:hAnsi="Times New Roman" w:eastAsia="Times New Roman" w:cs="Times New Roman"/>
        </w:rPr>
        <w:t>GEA 未发布 h=12.5 m AV75 原始场；同分辨率参考采用不同 LES 闭合和可压缩总能量方程。因此，本报告不宣称逐点场吻合、控制方程等价或窄格点区间重合。</w:t>
      </w:r>
    </w:p>
    <w:p>
      <w:pPr>
        <w:pStyle w:val="Heading1"/>
      </w:pPr>
      <w:r>
        <w:t>校验范围、指标与判据</w:t>
      </w:r>
    </w:p>
    <w:p>
      <w:r>
        <w:rPr>
          <w:rFonts w:ascii="Times New Roman" w:hAnsi="Times New Roman" w:eastAsia="Times New Roman" w:cs="Times New Roman"/>
        </w:rPr>
        <w:t>校验对象严格限定为单一平台配置，不包含其他网格、其他时间步、D3Q7、TRT 或粗网格稳定性结果。主指标是在 t=900 s、第一物理层 z=h/2=6.25 m 上，温位扰动 theta'=-1 K 的最右交点；相邻格点之间采用线性插值。</w:t>
      </w:r>
    </w:p>
    <w:p>
      <w:pPr>
        <w:spacing w:before="100" w:after="160"/>
        <w:jc w:val="center"/>
      </w:pPr>
      <w:r>
        <w:rPr>
          <w:rFonts w:ascii="Times New Roman" w:hAnsi="Times New Roman" w:eastAsia="Times New Roman" w:cs="Times New Roman"/>
          <w:i/>
          <w:color w:val="163A5F"/>
          <w:sz w:val="23"/>
        </w:rPr>
        <w:t>epsilon_f = 100 x (x_front,CULBM - x_front,reference) / x_front,reference</w:t>
      </w:r>
    </w:p>
    <w:p>
      <w:r>
        <w:rPr>
          <w:rFonts w:ascii="Times New Roman" w:hAnsi="Times New Roman" w:eastAsia="Times New Roman" w:cs="Times New Roman"/>
        </w:rPr>
        <w:t>判据采用用户指定的工程容差：|epsilon_f|≤5% 评价为“良好 / 通过”。对论文以区间报告的 GEA 结果，x_front,reference 取该区间的算术中点。该 5% 是工程验收阈值，不是统计置信区间；论文表中的上下界只是前缘所在的离散格点区间。</w:t>
      </w:r>
    </w:p>
    <w:p>
      <w:pPr>
        <w:pStyle w:val="Heading1"/>
      </w:pPr>
      <w:r>
        <w:t>单一高精度配置与参考依据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2980"/>
        <w:gridCol w:w="1700"/>
        <w:gridCol w:w="29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计算域 / 时长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25.6 km x 6.4 km; 900 s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网格 / 步数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2050 x 4 x 514; 36,000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空间 / 时间步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12.5 m; 0.025 s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动量 / 温度格子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D3Q19 / SRT; D3Q19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精度 / SGS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FP32 DDF; 关闭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tau / 终态 Mach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0.530996; 0.107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黏度映射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mu=75 Pa s / rho_ref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runner SHA-256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AA02A13597094BB0...</w:t>
            </w:r>
          </w:p>
        </w:tc>
      </w:tr>
    </w:tbl>
    <w:p>
      <w:r>
        <w:br w:type="page"/>
      </w:r>
    </w:p>
    <w:p>
      <w:pPr>
        <w:pStyle w:val="Heading1"/>
      </w:pPr>
      <w:r>
        <w:t>参考依据与证据处理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平台来源：验证会话 019fb51b-71a5-7770-91cd-e42f70598ad1 的统计基线，以及同一二进制、同一数值参数的 slice-enabled repeat；使用 run_config.json、metrics.csv、final_summary.json 与 snapshots/*.csv，二进制 SHA-256 已锁定。</w:t>
      </w:r>
    </w:p>
    <w:p>
      <w:r>
        <w:rPr>
          <w:rFonts w:ascii="Times New Roman" w:hAnsi="Times New Roman" w:eastAsia="Times New Roman" w:cs="Times New Roman"/>
        </w:rPr>
        <w:t>同分辨率统计基准来自 Girfoglio、Quaini 与 Rozza（2023）Table 3：GEA Smagorinsky [16.000, 16.026] km、GEA kEqn [15.642, 15.667] km，以及其引用的 Marras、Nazarov 与 Giraldo（2015）15.056 km。截面参考来自同文 Figures 9 和 13。</w:t>
      </w:r>
    </w:p>
    <w:p>
      <w:r>
        <w:rPr>
          <w:rFonts w:ascii="Times New Roman" w:hAnsi="Times New Roman" w:eastAsia="Times New Roman" w:cs="Times New Roman"/>
        </w:rPr>
        <w:t>平台统计基线与截面复算使用相同二进制和数值参数；最终前缘差为 +0.000e+00 m。截面写出不会改变主校验指标，因而可将复算场用于形态展示。</w:t>
      </w:r>
    </w:p>
    <w:p>
      <w:r>
        <w:rPr>
          <w:rFonts w:ascii="Times New Roman" w:hAnsi="Times New Roman" w:eastAsia="Times New Roman" w:cs="Times New Roman"/>
        </w:rPr>
        <w:t>GEA 未发布 h=12.5 m 的原始时刻场。报告仅对论文嵌入栅格按原色标作近似数值映射，再统一重绘为 icefire；绘制采用最近邻显示，避免额外平滑。该处理只支持形态对照，不产生场级误差范数。</w:t>
      </w:r>
    </w:p>
    <w:p>
      <w:r>
        <w:rPr>
          <w:rFonts w:ascii="Times New Roman" w:hAnsi="Times New Roman" w:eastAsia="Times New Roman" w:cs="Times New Roman"/>
        </w:rPr>
        <w:t>统计验收与数值健康性分开判定：前缘相对差异决定 5% 工程评级；有限性、正密度、二维一致性、守恒漂移和 Mach 历程用于限定结果的数值适用范围。</w:t>
      </w:r>
    </w:p>
    <w:p>
      <w:pPr>
        <w:pStyle w:val="Heading2"/>
      </w:pPr>
      <w:r>
        <w:t>证据等级与可支持结论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1550"/>
        <w:gridCol w:w="235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报告用途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CULBM 截面复算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原始 CSV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定量统计与云图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同一二进制、同一数值参数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GEA Table 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数值区间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定量前缘比较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区间中点；不同 LES 闭合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GEA Figures 9/13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出版栅格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定性截面比较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色标近似映射；不计算场误差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Marras et al. (2015)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前缘标量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定量辅助比较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不同求解器与 SGS 模型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166AC"/>
          <w:left w:val="single" w:sz="10" w:space="0" w:color="2166AC"/>
          <w:bottom w:val="single" w:sz="10" w:space="0" w:color="2166AC"/>
          <w:right w:val="single" w:sz="10" w:space="0" w:color="2166AC"/>
          <w:insideH w:val="single" w:sz="10" w:space="0" w:color="2166AC"/>
          <w:insideV w:val="single" w:sz="10" w:space="0" w:color="2166A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before="60" w:after="60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22"/>
              </w:rPr>
              <w:t>校验判定：</w:t>
            </w:r>
            <w:r>
              <w:rPr>
                <w:rFonts w:ascii="Times New Roman" w:hAnsi="Times New Roman" w:eastAsia="Times New Roman" w:cs="Times New Roman"/>
                <w:b/>
                <w:color w:val="163A5F"/>
                <w:sz w:val="22"/>
              </w:rPr>
              <w:t>前缘统计：良好 / 通过；截面形态：定性支持；逐点场误差：未验证；Mach：注意。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t>截面演化重现标准密度流结构</w:t>
      </w:r>
    </w:p>
    <w:p>
      <w:r>
        <w:rPr>
          <w:rFonts w:ascii="Times New Roman" w:hAnsi="Times New Roman" w:eastAsia="Times New Roman" w:cs="Times New Roman"/>
        </w:rPr>
        <w:t>下图在统一视窗、统一物理纵横比、统一 [-15, 0] K 色标和 icefire 配色下比较 300、600、750 与 900 s 的温位扰动。两列 GEA 图来自 Girfoglio et al. (2023) Figures 9/13 的同网格出版栅格并按原色标近似重映射；平台列来自本次高精度重跑的原始截面 CSV。平台界面明显更平滑、小尺度混合较弱；比较仅用于识别冷池下沉、触地铺展、前缘推进以及卷吸/多涡等大尺度演化阶段，不将细节差异判为逐点吻合。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229600" cy="4179488"/>
            <wp:docPr id="1" name="Picture 1" descr="Four-time icefire cross-section comparison of GEA Smagorinsky, GEA kEqn, and the finest-grid CULBM D3Q19 simulation." title="figure_1_section_comparison_icefi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section_comparison_icefi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7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1  同分辨率密度流截面演化。GEA 出版栅格与 CULBM 原始场均重绘为 icefire；范围为 x=0-17 km、z=0-4.8 km。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前缘统计满足 5% 工程判据</w:t>
      </w:r>
    </w:p>
    <w:p>
      <w:r>
        <w:rPr>
          <w:rFonts w:ascii="Times New Roman" w:hAnsi="Times New Roman" w:eastAsia="Times New Roman" w:cs="Times New Roman"/>
        </w:rPr>
        <w:t>平台前缘位于两个 GEA LES 参考中心之间，并接近 Marras 等同分辨率结果。图中的短横线是离散格点区间而非不确定度置信区间；平台点未落入两个窄 GEA 区间。三项工程尺度位置差异均小于 5%。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08656"/>
            <wp:docPr id="2" name="Picture 2" descr="Front-location interval and point comparison at 900 seconds." title="figure_2_front_location_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front_loca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2  t=900 s 的同分辨率前缘位置及论文格点区间。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来源：CULBM final_summary.json；Girfoglio et al. (2023), Table 3。</w:t>
      </w:r>
    </w:p>
    <w:p>
      <w:r>
        <w:rPr>
          <w:rFonts w:ascii="Times New Roman" w:hAnsi="Times New Roman" w:eastAsia="Times New Roman" w:cs="Times New Roman"/>
        </w:rPr>
        <w:t>相对差异图直接采用带符号误差：负值表示平台前缘略慢于参考，正值表示略快。共有 3/3 项落在预先规定的 +/-5% 区域内；最接近的参考相差 0.32%。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56532"/>
            <wp:docPr id="3" name="Picture 3" descr="Signed front-location differences inside the plus-or-minus five-percent acceptance band." title="figure_3_relative_difference_accept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relative_difference_accep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56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3  相对同分辨率参考的前缘差异与 5% 验收区域。</w:t>
      </w: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60"/>
        <w:gridCol w:w="1510"/>
        <w:gridCol w:w="1510"/>
        <w:gridCol w:w="1130"/>
        <w:gridCol w:w="1350"/>
        <w:gridCol w:w="17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同分辨率参考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参考前缘 (km)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平台前缘 (km)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差值 (m)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相对差异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GEA Smagorinsky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16.0130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15.7045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-308.5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-1.93%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良好 / 通过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GEA kEqn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15.6545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15.7045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+50.0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+0.32%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良好 / 通过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Marras et al. (2015)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15.0560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15.7045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+648.5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+4.31%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良好 / 通过</w:t>
            </w:r>
          </w:p>
        </w:tc>
      </w:tr>
    </w:tbl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注：不同参考采用不同 LES 闭合；表中百分比用于工程级前缘基准，不作为控制方程等价性证明。</w:t>
      </w:r>
    </w:p>
    <w:p>
      <w:pPr>
        <w:pStyle w:val="Heading1"/>
      </w:pPr>
      <w:r>
        <w:t>数值健康性总体可接受，Mach 留有提示</w:t>
      </w:r>
    </w:p>
    <w:p>
      <w:r>
        <w:rPr>
          <w:rFonts w:ascii="Times New Roman" w:hAnsi="Times New Roman" w:eastAsia="Times New Roman" w:cs="Times New Roman"/>
        </w:rPr>
        <w:t>所选算例在 181 个五秒采样点及 5 个完整截面上保持有限场和正密度，格子密度始终位于 0.9913-1.0098，平均密度漂移为 -0.57 ppm。最大 Mach 峰值为 0.134、终态为 0.107，均超过求解器 0.1 的内部提示阈值，因此弱可压缩性误差仍需列为限制。开启截面写出的独立重复运行与原统计运行得到相同终态前缘。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48414"/>
            <wp:docPr id="4" name="Picture 4" descr="Maximum Mach number and lattice-density envelope from zero to 900 seconds." title="figure_4_numerical_heal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numerical_heal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4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4  选定高精度算例的最大 Mach 与格子密度时间历程。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2400"/>
        <w:gridCol w:w="12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场有限性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全部有限</w:t>
            </w:r>
          </w:p>
        </w:tc>
        <w:tc>
          <w:tcPr>
            <w:tcW w:type="dxa" w:w="12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181 个采样时刻及 5 个截面文件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密度正性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0.991343 - 1.009841</w:t>
            </w:r>
          </w:p>
        </w:tc>
        <w:tc>
          <w:tcPr>
            <w:tcW w:type="dxa" w:w="12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全程最小密度大于 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最大 Mach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峰值 0.134; 终态 0.107</w:t>
            </w:r>
          </w:p>
        </w:tc>
        <w:tc>
          <w:tcPr>
            <w:tcW w:type="dxa" w:w="1200"/>
            <w:shd w:fill="F5DDE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注意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两者均超过 0.1 内部提示阈值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二维一致性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y 向温位离散 0.0 K</w:t>
            </w:r>
          </w:p>
        </w:tc>
        <w:tc>
          <w:tcPr>
            <w:tcW w:type="dxa" w:w="12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四层 y 单元保持完全一致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平均密度漂移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-0.57 ppm</w:t>
            </w:r>
          </w:p>
        </w:tc>
        <w:tc>
          <w:tcPr>
            <w:tcW w:type="dxa" w:w="12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相对格子参考密度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重复运行一致性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前缘差 +0.000e+00 m</w:t>
            </w:r>
          </w:p>
        </w:tc>
        <w:tc>
          <w:tcPr>
            <w:tcW w:type="dxa" w:w="12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开启截面输出未改变最终前缘</w:t>
            </w:r>
          </w:p>
        </w:tc>
      </w:tr>
    </w:tbl>
    <w:p>
      <w:pPr>
        <w:pStyle w:val="Heading1"/>
      </w:pPr>
      <w:r>
        <w:t>结论、限制与后续工作</w:t>
      </w:r>
    </w:p>
    <w:p>
      <w:r>
        <w:rPr>
          <w:rFonts w:ascii="Times New Roman" w:hAnsi="Times New Roman" w:eastAsia="Times New Roman" w:cs="Times New Roman"/>
          <w:b/>
        </w:rPr>
        <w:t>结论：</w:t>
      </w:r>
      <w:r>
        <w:rPr>
          <w:rFonts w:ascii="Times New Roman" w:hAnsi="Times New Roman" w:eastAsia="Times New Roman" w:cs="Times New Roman"/>
        </w:rPr>
        <w:t>在 h=12.5 m、dt=0.025 s 的平台最细 D3Q19 高精度配置上，900 s 冷池前缘为 15.7045 km；相对三项同分辨率文献基准的差异为 -1.93%、+0.32%、+4.31%。按本报告判据，密度流前缘校验结果评价为“良好 / 通过”。截面演化同时重现了标准密度流的下沉、触地、贴地推进与卷吸涡结构，构成定性形态旁证；这一评价不消除 Mach 超过 0.1 的弱可压缩性提示。</w:t>
      </w:r>
    </w:p>
    <w:p>
      <w:r>
        <w:rPr>
          <w:rFonts w:ascii="Times New Roman" w:hAnsi="Times New Roman" w:eastAsia="Times New Roman" w:cs="Times New Roman"/>
          <w:b/>
        </w:rPr>
        <w:t>限制：</w:t>
      </w:r>
      <w:r>
        <w:rPr>
          <w:rFonts w:ascii="Times New Roman" w:hAnsi="Times New Roman" w:eastAsia="Times New Roman" w:cs="Times New Roman"/>
        </w:rPr>
        <w:t>平台是弱可压 Boussinesq 类比模型，且峰值 Mach=0.134；论文 GEA 是可压缩干空气总能量模型，同分辨率参考还采用不同 LES 闭合。GEA 原始时刻场未发布，论文截面只能作栅格级定性比较。因此当前证据不足以报告 L1/L2/Linf、逐点相关系数或场差分。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1. 在 h=12.5 m 上运行同一 AV75/控制方程参考并保存原始场，建立真正的同模型、同网格比较。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2. 双方统一输出 300/600/750/900 s 的 theta、u、w 与 rho，再计算场级范数、前缘速度和涡结构位置。</w:t>
      </w:r>
    </w:p>
    <w:p>
      <w:pPr>
        <w:ind w:left="720" w:hanging="360"/>
      </w:pPr>
      <w:r>
        <w:rPr>
          <w:rFonts w:ascii="Times New Roman" w:hAnsi="Times New Roman" w:eastAsia="Times New Roman" w:cs="Times New Roman"/>
        </w:rPr>
        <w:t>3. 将 5% 工程判据写入自动回归，同时保留“前缘通过”和“场级未验证”两个独立状态。</w:t>
      </w:r>
    </w:p>
    <w:p>
      <w:pPr>
        <w:pStyle w:val="Heading1"/>
      </w:pPr>
      <w:r>
        <w:t>参考文献与可追溯性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19"/>
        </w:rPr>
        <w:t>1. M. Girfoglio, A. Quaini and G. Rozza, “Validation of an OpenFOAM-based solver for the Euler equations with benchmarks for mesoscale atmospheric modeling,” arXiv:2302.04836, 2023.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19"/>
        </w:rPr>
        <w:t>2. S. Marras, M. Nazarov and F. X. Giraldo, “Stabilized high-order Galerkin methods based on a parameter-free dynamic SGS model for LES,” Journal of Computational Physics, vol. 301, pp. 77–101, 2015.</w:t>
      </w:r>
    </w:p>
    <w:p>
      <w:pPr>
        <w:ind w:left="720" w:hanging="360"/>
      </w:pPr>
      <w:r>
        <w:rPr>
          <w:rFonts w:ascii="Times New Roman" w:hAnsi="Times New Roman" w:eastAsia="Times New Roman" w:cs="Times New Roman"/>
          <w:sz w:val="19"/>
        </w:rPr>
        <w:t>3. J. M. Straka et al., “Numerical solutions of a non-linear density current: a benchmark solution and comparisons,” International Journal for Numerical Methods in Fluids, vol. 17, pp. 1–22, 1993.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可追溯性：报告数据目录 density-current-formal-report-20260801_001509；求解器 SHA-256 AA02A13597094BB0C6D4741E245021E8A4964DECB68F03DB56824C50FEF0AB91；GEA 本地参考提交 bdf0b929fc92163cb946520e5f8bd3d1fd6ca45f。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3968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984"/>
      <w:gridCol w:w="6984"/>
    </w:tblGrid>
    <w:tr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  <w:t>CULBM  |  Density Current High-Resolution Validation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  <w:t>CULBM  |  Density Current High-Resolution Validation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  <w:t>CULBM  |  Density Current High-Resolution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Times New Roman" w:cs="Times New Roman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166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B218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2166A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Times New Roman" w:hAnsi="Times New Roman" w:eastAsia="Times New Roman" w:cs="Times New Roman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pPr>
      <w:spacing w:before="80" w:after="80" w:line="240" w:lineRule="auto"/>
    </w:pPr>
    <w:rPr>
      <w:rFonts w:ascii="Times New Roman" w:hAnsi="Times New Roman" w:eastAsia="Times New Roman" w:cs="Times New Roman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CULBM 密度流高分辨率数值校验报告</dc:title>
  <dc:subject>Density-current benchmark validation</dc:subject>
  <dc:creator>LatticeUrbanWind / CULBM</dc:creator>
  <cp:keywords>CULBM, density current, D3Q19,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