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65A82"/>
          <w:sz w:val="20"/>
          <w:szCs w:val="20"/>
        </w:rPr>
        <w:t xml:space="preserve">PRE-READ FOR MONDAY</w:t>
      </w:r>
    </w:p>
    <w:p>
      <w:pPr>
        <w:spacing w:after="40"/>
      </w:pPr>
      <w:r>
        <w:rPr>
          <w:rFonts w:ascii="Cambria" w:cs="Cambria" w:eastAsia="Cambria" w:hAnsi="Cambria"/>
          <w:b/>
          <w:bCs/>
          <w:color w:val="1E2761"/>
          <w:sz w:val="38"/>
          <w:szCs w:val="38"/>
        </w:rPr>
        <w:t xml:space="preserve">Decision Making Under Deep Uncertainty</w:t>
      </w:r>
    </w:p>
    <w:p>
      <w:pPr>
        <w:pBdr>
          <w:bottom w:val="single" w:color="065A82" w:sz="6" w:space="6"/>
        </w:pBdr>
        <w:spacing w:after="240"/>
      </w:pPr>
      <w:r>
        <w:rPr>
          <w:color w:val="666666"/>
          <w:sz w:val="18"/>
          <w:szCs w:val="18"/>
        </w:rPr>
        <w:t xml:space="preserve">Prepared by Harry  ·  For: Innovera C-Suite  ·  ~10 minutes to read</w:t>
      </w:r>
    </w:p>
    <w:p>
      <w:pPr>
        <w:pStyle w:val="Heading1"/>
      </w:pPr>
      <w:r>
        <w:t xml:space="preserve">1.  The one idea</w:t>
      </w:r>
    </w:p>
    <w:p>
      <w:pPr>
        <w:spacing w:after="120" w:line="276"/>
      </w:pPr>
      <w:r>
        <w:t xml:space="preserve">Innovera exists to give clients confidence in high-stakes decisions: to move them from uncertainty toward certainty. Today we do that through research and analysis. Our memos scour the web, apply frameworks, and produce a detailed report that answers most of the questions a client has, plus a few they did not know to ask. That is real, defensible value. It is also insufficient.</w:t>
      </w:r>
    </w:p>
    <w:p>
      <w:pPr>
        <w:spacing w:after="120" w:line="276"/>
      </w:pPr>
      <w:r>
        <w:t xml:space="preserve">Some questions cannot be answered by more research, more analysis, or more expert review, because the answer does not exist yet. This is the territory of </w:t>
      </w:r>
      <w:r>
        <w:rPr>
          <w:b/>
          <w:bCs/>
        </w:rPr>
        <w:t xml:space="preserve">deep uncertainty</w:t>
      </w:r>
      <w:r>
        <w:t xml:space="preserve">, and there is an established science for operating in it: Decision Making under Deep Uncertainty (DMDU), developed over the past two decades at institutions like RAND and TU Delft for problems where the stakes are high, the horizon is long, and forecasting is unreliable. It is the toolkit behind the Netherlands’ Delta Programme for flood planning and the Thames Estuary 2100 plan; the standard reference is Marchau, Walker, Bloemen and Popper (2019). When research, analysis, and human experts have taken us as far as they can go, this is the toolkit we reach for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A82" w:sz="4"/>
              <w:left w:val="single" w:color="065A82" w:sz="4"/>
              <w:bottom w:val="single" w:color="065A82" w:sz="4"/>
              <w:right w:val="single" w:color="065A82" w:sz="4"/>
            </w:tcBorders>
            <w:shd w:fill="F0F5FA" w:val="clear"/>
            <w:tcMar>
              <w:top w:type="dxa" w:w="160"/>
              <w:left w:type="dxa" w:w="200"/>
              <w:bottom w:type="dxa" w:w="160"/>
              <w:right w:type="dxa" w:w="200"/>
            </w:tcMar>
          </w:tcPr>
          <w:p>
            <w:pPr>
              <w:spacing w:after="80" w:line="276"/>
            </w:pPr>
            <w:r>
              <w:rPr>
                <w:b/>
                <w:bCs/>
                <w:color w:val="1E2761"/>
              </w:rPr>
              <w:t xml:space="preserve">The core move is a change of question.</w:t>
            </w:r>
          </w:p>
          <w:p>
            <w:pPr>
              <w:spacing w:after="80" w:line="276"/>
            </w:pPr>
            <w:r>
              <w:t xml:space="preserve">Ordinary analysis asks: </w:t>
            </w:r>
            <w:r>
              <w:rPr>
                <w:i/>
                <w:iCs/>
              </w:rPr>
              <w:t xml:space="preserve">what is most likely to happen, and what is the best plan for that future?</w:t>
            </w:r>
          </w:p>
          <w:p>
            <w:pPr>
              <w:spacing w:after="80" w:line="276"/>
            </w:pPr>
            <w:r>
              <w:t xml:space="preserve">Deep uncertainty analysis asks: </w:t>
            </w:r>
            <w:r>
              <w:rPr>
                <w:i/>
                <w:iCs/>
              </w:rPr>
              <w:t xml:space="preserve">across all the futures we cannot rule out, which strategy holds up best, whatever happens?</w:t>
            </w:r>
          </w:p>
          <w:p>
            <w:pPr>
              <w:spacing w:line="276"/>
            </w:pPr>
            <w:r>
              <w:t xml:space="preserve">We stop trying to predict the winner. Instead, we stress-test every candidate strategy against a set of deliberately different futures, and choose the one we would regret least. Prediction is replaced by robustness.</w:t>
            </w:r>
          </w:p>
        </w:tc>
      </w:tr>
    </w:tbl>
    <w:p>
      <w:pPr>
        <w:spacing w:after="120" w:before="200"/>
      </w:pPr>
      <w:r>
        <w:t xml:space="preserve">Whether you need this depends entirely on the decision. “Should Starbucks open a cafe in Denver Airport?” is a solvable problem. Nearly everything is fixed: the product, the existing cafes in the terminal, the passenger traffic through Denver, Colorado regulations (Starbucks already operates in the state), airport rules (Starbucks operates in dozens of airports). With that much data and that many fixed variables, it is a formula. Build the model, run the prediction, get a range, decide.</w:t>
      </w:r>
    </w:p>
    <w:p>
      <w:pPr>
        <w:spacing w:after="120" w:line="276"/>
      </w:pPr>
      <w:r>
        <w:t xml:space="preserve">Now compare “should Samsung build a satellite company?” Who will the competitors in space be? How far will rocket technology shift in the next five years? Will governments really pay a premium for non-US satellite capacity, and will that premium hold? What team do you even hire to make a satellite company work? There are so many variables, so much complexity, and so little data to ground a prediction that prediction itself stops being the right tool.</w:t>
      </w:r>
    </w:p>
    <w:p>
      <w:pPr>
        <w:spacing w:after="120" w:line="276"/>
      </w:pPr>
      <w:r>
        <w:t xml:space="preserve">That second kind of problem is exactly where our clients live. They come to us because they want to build something new, and new things are deeply uncertain. DMDU is the toolkit built for precisely that situation.</w:t>
      </w:r>
    </w:p>
    <w:p>
      <w:pPr>
        <w:pStyle w:val="Heading1"/>
      </w:pPr>
      <w:r>
        <w:t xml:space="preserve">2.  What we did: the Samsung case, in seven steps</w:t>
      </w:r>
    </w:p>
    <w:p>
      <w:pPr>
        <w:spacing w:after="120" w:line="276"/>
      </w:pPr>
      <w:r>
        <w:t xml:space="preserve">We ran a complete pipeline on a real investment-grade memo, a Samsung low-earth-orbit satellite venture. Here is the flow as a story: what each step does, why it exists, and what it found. We will go through the detail on Monday; this is the shape of it.</w:t>
      </w:r>
    </w:p>
    <w:p>
      <w:pPr>
        <w:spacing w:after="120" w:line="276"/>
      </w:pPr>
      <w:r>
        <w:rPr>
          <w:b/>
          <w:bCs/>
        </w:rPr>
        <w:t xml:space="preserve">1. Extraction. </w:t>
      </w:r>
      <w:r>
        <w:t xml:space="preserve">We pulled every number, claim, and assumption out of the memo and gave each one a citation back to the section it came from, producing a parameter table and a risk register. The memo turned out to contradict itself in places: three different capex ranges, two different satellite costs, and a factory whose stated capacity cannot keep the constellation alive once satellites start aging out.</w:t>
      </w:r>
    </w:p>
    <w:p>
      <w:pPr>
        <w:spacing w:after="120" w:line="276"/>
      </w:pPr>
      <w:r>
        <w:rPr>
          <w:b/>
          <w:bCs/>
        </w:rPr>
        <w:t xml:space="preserve">2. Calibration. </w:t>
      </w:r>
      <w:r>
        <w:t xml:space="preserve">We turned those parameters into a working cash-flow model and tuned it until it reproduced the memo’s own financial claims. If the memo says revenue passes $10B in Year 10, the model has to hit that. This is where the biggest finding surfaced: the memo prices everything and counts almost nothing. Every price per site, per vessel, per user is cited; the volumes behind the revenue appear nowhere, and we had to reverse-engineer them.</w:t>
      </w:r>
    </w:p>
    <w:p>
      <w:pPr>
        <w:spacing w:after="120" w:line="276"/>
      </w:pPr>
      <w:r>
        <w:rPr>
          <w:b/>
          <w:bCs/>
        </w:rPr>
        <w:t xml:space="preserve">3. Worlds. </w:t>
      </w:r>
      <w:r>
        <w:t xml:space="preserve">We asked which uncertainties no amount of research could resolve, and found two: whether access to orbit gets cheap, and whether governments will really pay a premium for sovereign satellite capacity. Crossing them gives four futures. Each is a complete, internally consistent set of model inputs, not a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line="252"/>
            </w:pPr>
            <w:r>
              <w:rPr>
                <w:b w:val="false"/>
                <w:bCs w:val="false"/>
                <w:color w:val="000000"/>
              </w:rPr>
              <w:t xml:space="preserve"/>
            </w:r>
          </w:p>
        </w:tc>
        <w:tc>
          <w:tcPr>
            <w:tcW w:type="dxa" w:w="3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line="252"/>
            </w:pPr>
            <w:r>
              <w:rPr>
                <w:b/>
                <w:bCs/>
                <w:color w:val="FFFFFF"/>
              </w:rPr>
              <w:t xml:space="preserve">Launch gets cheap</w:t>
            </w:r>
          </w:p>
        </w:tc>
        <w:tc>
          <w:tcPr>
            <w:tcW w:type="dxa" w:w="3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spacing w:line="252"/>
            </w:pPr>
            <w:r>
              <w:rPr>
                <w:b/>
                <w:bCs/>
                <w:color w:val="FFFFFF"/>
              </w:rPr>
              <w:t xml:space="preserve">Launch stays expensive</w:t>
            </w:r>
          </w:p>
        </w:tc>
      </w:tr>
      <w:tr>
        <w:tc>
          <w:tcPr>
            <w:tcW w:type="dxa" w:w="2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Sovereignty premium is real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W2: Sovereign Plenty (the memo's bet)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W1: Gated Orbits</w:t>
            </w:r>
          </w:p>
        </w:tc>
      </w:tr>
      <w:tr>
        <w:tc>
          <w:tcPr>
            <w:tcW w:type="dxa" w:w="2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Sovereignty premium fades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W4: Contested Commodity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52"/>
            </w:pPr>
            <w:r>
              <w:rPr>
                <w:b w:val="false"/>
                <w:bCs w:val="false"/>
                <w:color w:val="000000"/>
              </w:rPr>
              <w:t xml:space="preserve">W3: Incumbent Citadel</w:t>
            </w:r>
          </w:p>
        </w:tc>
      </w:tr>
    </w:tbl>
    <w:p>
      <w:pPr>
        <w:spacing w:after="120" w:before="160"/>
      </w:pPr>
      <w:r>
        <w:rPr>
          <w:b/>
          <w:bCs/>
        </w:rPr>
        <w:t xml:space="preserve">4. Verdict. </w:t>
      </w:r>
      <w:r>
        <w:t xml:space="preserve">We ran the plan as written through each world. It wins in one, Sovereign Plenty, and loses in different ways in the other three.</w:t>
      </w:r>
    </w:p>
    <w:p>
      <w:pPr>
        <w:spacing w:after="120" w:line="276"/>
      </w:pPr>
      <w:r>
        <w:rPr>
          <w:b/>
          <w:bCs/>
        </w:rPr>
        <w:t xml:space="preserve">5. Strategies. </w:t>
      </w:r>
      <w:r>
        <w:t xml:space="preserve">We added the alternatives, including options the memo itself had considered and discarded, and ran every strategy through every world. Five strategies, four worlds, twenty outcomes.</w:t>
      </w:r>
    </w:p>
    <w:p>
      <w:pPr>
        <w:spacing w:after="120" w:line="276"/>
      </w:pPr>
      <w:r>
        <w:rPr>
          <w:b/>
          <w:bCs/>
        </w:rPr>
        <w:t xml:space="preserve">6. Regret. </w:t>
      </w:r>
      <w:r>
        <w:t xml:space="preserve">We scored all twenty outcomes against the best achievable in each world. This is the concept everything above builds to, so it gets its own section below.</w:t>
      </w:r>
    </w:p>
    <w:p>
      <w:pPr>
        <w:spacing w:after="120" w:line="276"/>
      </w:pPr>
      <w:r>
        <w:rPr>
          <w:b/>
          <w:bCs/>
        </w:rPr>
        <w:t xml:space="preserve">7. Pathways. </w:t>
      </w:r>
      <w:r>
        <w:t xml:space="preserve">We turned those scores into a staged policy: what to do now, what to watch for, and what to do when the world reveals itself. Also covered below.</w:t>
      </w:r>
    </w:p>
    <w:p>
      <w:pPr>
        <w:pStyle w:val="Heading1"/>
      </w:pPr>
      <w:r>
        <w:t xml:space="preserve">3.  Regret: the number everything builds to</w:t>
      </w:r>
    </w:p>
    <w:p>
      <w:pPr>
        <w:spacing w:after="120" w:line="276"/>
      </w:pPr>
      <w:r>
        <w:t xml:space="preserve">Regret is the gap between what you got and what you could have had. For each future, we ask a simple question: </w:t>
      </w:r>
      <w:r>
        <w:rPr>
          <w:i/>
          <w:iCs/>
        </w:rPr>
        <w:t xml:space="preserve">if this is the world that arrives, how far does this strategy fall short of the best strategy for that world?</w:t>
      </w:r>
    </w:p>
    <w:p>
      <w:pPr>
        <w:spacing w:after="120" w:line="276"/>
      </w:pPr>
      <w:r>
        <w:t xml:space="preserve">Calculating it is mechanical. Run every strategy through a world. Find the best outcome in that world. Score every other strategy by its distance from that best. Repeat for every world, and you get a regret table: every strategy, every future, one number each.</w:t>
      </w:r>
    </w:p>
    <w:p>
      <w:pPr>
        <w:spacing w:after="120" w:line="276"/>
      </w:pPr>
      <w:r>
        <w:t xml:space="preserve">What it tells you is the valuable part. A strategy with low regret in every world is robust: whichever future arrives, you will not be far from the best you could have done. The decision rule that follows is to pick the strategy whose worst-case regret is smallest. You are not betting on a forecast; you are limiting how wrong you can be.</w:t>
      </w:r>
    </w:p>
    <w:p>
      <w:pPr>
        <w:spacing w:after="120" w:line="276"/>
      </w:pPr>
      <w:r>
        <w:t xml:space="preserve">In the Samsung case, the result was blunt. The plan as written carries the highest worst-case regret of any strategy we tested: it is a wager on one specific future. The most robust strategy turned out to be one the memo itself raised and discarded, a gateway-as-a-service posture. No amount of reading the memo would have surfaced that. The regret table did.</w:t>
      </w:r>
    </w:p>
    <w:p>
      <w:pPr>
        <w:pStyle w:val="Heading1"/>
      </w:pPr>
      <w:r>
        <w:t xml:space="preserve">4.  Pathways: what happens after the first move</w:t>
      </w:r>
    </w:p>
    <w:p>
      <w:pPr>
        <w:spacing w:after="120" w:line="276"/>
      </w:pPr>
      <w:r>
        <w:t xml:space="preserve">A recommendation is not the end of the analysis, because acting changes the problem. When a client makes a move, three things happen at once:</w:t>
      </w:r>
    </w:p>
    <w:p>
      <w:pPr>
        <w:pStyle w:val="ListParagraph"/>
        <w:numPr>
          <w:ilvl w:val="0"/>
          <w:numId w:val="2"/>
        </w:numPr>
        <w:spacing w:after="80" w:line="276"/>
      </w:pPr>
      <w:r>
        <w:t xml:space="preserve">They spend real resources: money, time, and above all opportunity. Some doors close for good.</w:t>
      </w:r>
    </w:p>
    <w:p>
      <w:pPr>
        <w:pStyle w:val="ListParagraph"/>
        <w:numPr>
          <w:ilvl w:val="0"/>
          <w:numId w:val="2"/>
        </w:numPr>
        <w:spacing w:after="80" w:line="276"/>
      </w:pPr>
      <w:r>
        <w:t xml:space="preserve">The move buys information that cannot be bought any other way. You cannot google your own pilot results. Things that were deeply uncertain become known facts.</w:t>
      </w:r>
    </w:p>
    <w:p>
      <w:pPr>
        <w:pStyle w:val="ListParagraph"/>
        <w:numPr>
          <w:ilvl w:val="0"/>
          <w:numId w:val="2"/>
        </w:numPr>
        <w:spacing w:after="80" w:line="276"/>
      </w:pPr>
      <w:r>
        <w:t xml:space="preserve">The set of futures still in play shrinks, and the set of available moves shrinks with it. If you commit to a commodity play, the do-it-all strategy is gone. But acting also creates new, path-dependent uncertainties that did not exist before: once you have entered a market, “how do competitors respond to us” becomes a live question for the first time.</w:t>
      </w:r>
    </w:p>
    <w:p>
      <w:pPr>
        <w:spacing w:after="120" w:before="120"/>
      </w:pPr>
      <w:r>
        <w:t xml:space="preserve">So the analysis re-runs after every major commitment, on the smaller set of remaining unknowns and the smaller set of moves still available. Each cycle, the venture knows a little more and can choose from a little less. The loop continues until the company is mature, when 99% of what you do today is what you did yesterday, almost nothing important is deeply uncertain anymore, and ordinary analysis takes over completely.</w:t>
      </w:r>
    </w:p>
    <w:p>
      <w:pPr>
        <w:spacing w:after="120" w:line="276"/>
      </w:pPr>
      <w:r>
        <w:t xml:space="preserve">For Samsung, this produced something concrete: a trigger table. Run the memo’s own Phase 1 budget, roughly $2M, not as a pass/fail test of the plan but as a measurement instrument. Two cheap tests map onto the two axes. Four possible readings, four prepared responses. No constellation capital is committed until the world shows its hand: an option premium of about $2M against a worst case measured in billions.</w:t>
      </w:r>
    </w:p>
    <w:p>
      <w:pPr>
        <w:pStyle w:val="Heading1"/>
      </w:pPr>
      <w:r>
        <w:t xml:space="preserve">5.  The two hard parts, and the upstream prize</w:t>
      </w:r>
    </w:p>
    <w:p>
      <w:pPr>
        <w:spacing w:after="120" w:line="276"/>
      </w:pPr>
      <w:r>
        <w:rPr>
          <w:b/>
          <w:bCs/>
        </w:rPr>
        <w:t xml:space="preserve">Hard part one: the digital twin. </w:t>
      </w:r>
      <w:r>
        <w:t xml:space="preserve">Turning a memo into a working model of the venture, calibrated until it reproduces the memo’s own claims. This is craft and labor, and it is where the contradictions and gaps surface.</w:t>
      </w:r>
    </w:p>
    <w:p>
      <w:pPr>
        <w:spacing w:after="120" w:line="276"/>
      </w:pPr>
      <w:r>
        <w:rPr>
          <w:b/>
          <w:bCs/>
        </w:rPr>
        <w:t xml:space="preserve">Hard part two: the framing. </w:t>
      </w:r>
      <w:r>
        <w:t xml:space="preserve">Choosing which uncertainties define the worlds, which worlds to build, and which strategies to test. This is judgment, and it is where the analysis can quietly go wrong: pick bland axes and you get bland, business-as-usual futures that test nothing.</w:t>
      </w:r>
    </w:p>
    <w:p>
      <w:pPr>
        <w:spacing w:after="120" w:line="276"/>
      </w:pPr>
      <w:r>
        <w:t xml:space="preserve">Once those two are done, the computation is the easy part. Running twenty scenarios through a model is cheap. Deciding which twenty is the work.</w:t>
      </w:r>
    </w:p>
    <w:p>
      <w:pPr>
        <w:spacing w:after="120" w:line="276"/>
      </w:pPr>
      <w:r>
        <w:rPr>
          <w:b/>
          <w:bCs/>
        </w:rPr>
        <w:t xml:space="preserve">The upstream prize: better memos make better models. </w:t>
      </w:r>
      <w:r>
        <w:t xml:space="preserve">The single biggest drag on the Samsung build was memo quality: missing volumes, uncalibrated claims, vague figures. Every improvement to the memo flows straight through to the model, the worlds, and the verdicts. Whatever we decide about deep uncertainty as a product direction, this pipeline doubles as a quality instrument pointed back at our core product.</w:t>
      </w:r>
    </w:p>
    <w:p>
      <w:pPr>
        <w:pStyle w:val="Heading1"/>
      </w:pPr>
      <w:r>
        <w:t xml:space="preserve">6.  Five questions for Monday</w:t>
      </w:r>
    </w:p>
    <w:p>
      <w:pPr>
        <w:spacing w:after="120" w:line="276"/>
      </w:pPr>
      <w:r>
        <w:t xml:space="preserve">These are genuinely open. Come with a view on at least one; we want to leave Monday with decisions, not impressions.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Knowledge graph: does it replace this, or feed it? (A question for Spencer.)</w:t>
            </w:r>
          </w:p>
          <w:p>
            <w:pPr>
              <w:spacing w:line="252"/>
            </w:pPr>
            <w:r>
              <w:rPr>
                <w:color w:val="666666"/>
              </w:rPr>
              <w:t xml:space="preserve">We are moving from our current prompt structure toward a knowledge graph system. Does that make this exercise redundant? Or is it a complement: the graph could be exactly what the extraction and calibration steps need underneath them, turning the hardest manual labor in the pipeline into a query.</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Quant or qual?</w:t>
            </w:r>
          </w:p>
          <w:p>
            <w:pPr>
              <w:spacing w:line="252"/>
            </w:pPr>
            <w:r>
              <w:rPr>
                <w:color w:val="666666"/>
              </w:rPr>
              <w:t xml:space="preserve">This process only works by extracting numbers from the memo and building a working business system, a model, on top of them. Is that the direction we want? Or do we take the view that you cannot honestly put numbers on a hypothetical venture, and go purely qualitative, comparing scenarios in text? And if we go qualitative, does the deep uncertainty approach still function at all, or is it broken without the model? This one is subtle and deserves a proper discussion.</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Insightful or confusing?</w:t>
            </w:r>
          </w:p>
          <w:p>
            <w:pPr>
              <w:spacing w:line="252"/>
            </w:pPr>
            <w:r>
              <w:rPr>
                <w:color w:val="666666"/>
              </w:rPr>
              <w:t xml:space="preserve">Deep uncertainty is a complex, highly scientific corner of decision science. When clients hear it, do they think “this firm brings cutting-edge thinking we could never build in-house,” or do they think “this is too confusing, I’m out”? Is there a middle ground, for example keeping the machinery internal and presenting only the worlds, the regret scores, and the triggers in plain language?</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The team knowledge gap.</w:t>
            </w:r>
          </w:p>
          <w:p>
            <w:pPr>
              <w:spacing w:line="252"/>
            </w:pPr>
            <w:r>
              <w:rPr>
                <w:color w:val="666666"/>
              </w:rPr>
              <w:t xml:space="preserve">As a team, we know little about this field. Pedram knows stochastic decision making deeply, Harry knows a little about deep uncertainty methods, and the rest of the team is close to zero. That leans hard into our AI-generated, human-verified thesis, except that right now we have very few humans who can do the verification. Is that a real problem, and if so, what is the fix: training, hiring, advisors?</w:t>
            </w:r>
          </w:p>
        </w:tc>
      </w:tr>
      <w:tr>
        <w:tc>
          <w:tcPr>
            <w:tcW w:type="dxa" w:w="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line="252"/>
            </w:pPr>
            <w:r>
              <w:rPr>
                <w:b/>
                <w:bCs/>
                <w:color w:val="00000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252"/>
            </w:pPr>
            <w:r>
              <w:rPr>
                <w:b/>
                <w:bCs/>
              </w:rPr>
              <w:t xml:space="preserve">The memo findings stand either way.</w:t>
            </w:r>
          </w:p>
          <w:p>
            <w:pPr>
              <w:spacing w:line="252"/>
            </w:pPr>
            <w:r>
              <w:rPr>
                <w:color w:val="666666"/>
              </w:rPr>
              <w:t xml:space="preserve">Even if we never adopt this approach, the process exposed real issues in our memos: the unpriced five-year satellite degradation, the missing volumes, the absence of any calibration check, the vague figures (“high double-digit margins”). Do we make fixing these a priority now, or wait and hope the knowledge graph solves them?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mbria" w:cs="Cambria" w:eastAsia="Cambria" w:hAnsi="Cambria"/>
      <w:b/>
      <w:bCs/>
      <w:color w:val="1E276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2026-06-12T22:39:54.108Z</dcterms:created>
  <dcterms:modified xsi:type="dcterms:W3CDTF">2026-06-12T22:39:54.108Z</dcterms:modified>
</cp:coreProperties>
</file>

<file path=docProps/custom.xml><?xml version="1.0" encoding="utf-8"?>
<Properties xmlns="http://schemas.openxmlformats.org/officeDocument/2006/custom-properties" xmlns:vt="http://schemas.openxmlformats.org/officeDocument/2006/docPropsVTypes"/>
</file>