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065A82"/>
          <w:sz w:val="20"/>
          <w:szCs w:val="20"/>
        </w:rPr>
        <w:t xml:space="preserve">PRE-READ — MONDAY SESSION</w:t>
      </w:r>
    </w:p>
    <w:p>
      <w:pPr>
        <w:spacing w:after="40"/>
      </w:pPr>
      <w:r>
        <w:rPr>
          <w:rFonts w:ascii="Cambria" w:cs="Cambria" w:eastAsia="Cambria" w:hAnsi="Cambria"/>
          <w:b/>
          <w:bCs/>
          <w:color w:val="1E2761"/>
          <w:sz w:val="36"/>
          <w:szCs w:val="36"/>
        </w:rPr>
        <w:t xml:space="preserve">Deciding Under Deep Uncertainty: What the Samsung Case Shows, and What We Do With It</w:t>
      </w:r>
    </w:p>
    <w:p>
      <w:pPr>
        <w:pBdr>
          <w:bottom w:val="single" w:color="065A82" w:sz="6" w:space="6"/>
        </w:pBdr>
        <w:spacing w:after="240"/>
      </w:pPr>
      <w:r>
        <w:rPr>
          <w:color w:val="666666"/>
          <w:sz w:val="18"/>
          <w:szCs w:val="18"/>
        </w:rPr>
        <w:t xml:space="preserve">Prepared by Harry  ·  For: Jeff, Spencer, Pedram +2  ·  ~10 minutes to read</w:t>
      </w:r>
    </w:p>
    <w:p>
      <w:pPr>
        <w:spacing w:after="120" w:line="276"/>
      </w:pPr>
      <w:r>
        <w:rPr>
          <w:b/>
          <w:bCs/>
        </w:rPr>
        <w:t xml:space="preserve">Why you’re reading this. </w:t>
      </w:r>
      <w:r>
        <w:t xml:space="preserve">Pedram asked me to put this in front of the group so Monday isn’t a blind discussion. The goal is to leave with decisions, not admiration. This sets up the one idea, shows the worked case behind it, and ends with five decisions I’m asking the group to weigh in on. The slide deck covers the same ground visually if you prefer that format.</w:t>
      </w:r>
    </w:p>
    <w:p>
      <w:pPr>
        <w:pStyle w:val="Heading1"/>
      </w:pPr>
      <w:r>
        <w:t xml:space="preserve">1.  The one idea</w:t>
      </w:r>
    </w:p>
    <w:p>
      <w:pPr>
        <w:spacing w:after="120" w:line="276"/>
      </w:pPr>
      <w:r>
        <w:t xml:space="preserve">Innovera’s memos are very good at uncertainty you can resolve with better information — the kind where more analysis closes the question. That is real, defensible value, but it is also where the rest of the market competes.</w:t>
      </w:r>
    </w:p>
    <w:p>
      <w:pPr>
        <w:spacing w:after="120" w:line="276"/>
      </w:pPr>
      <w:r>
        <w:t xml:space="preserve">The harder and more valuable territory is </w:t>
      </w:r>
      <w:r>
        <w:rPr>
          <w:b/>
          <w:bCs/>
        </w:rPr>
        <w:t xml:space="preserve">deep uncertainty</w:t>
      </w:r>
      <w:r>
        <w:t xml:space="preserve">: situations where no amount of analysis closes the question, because the future genuinely could break several ways. You can’t forecast your way out; you can only build a strategy that holds up across the ways it might break. The Samsung case is a worked proof that we can do this rigorously, on top of the memo we already produce. Internally: </w:t>
      </w:r>
      <w:r>
        <w:rPr>
          <w:i/>
          <w:iCs/>
        </w:rPr>
        <w:t xml:space="preserve">stochastic inside, robust-across.</w:t>
      </w:r>
    </w:p>
    <w:p>
      <w:pPr>
        <w:pStyle w:val="Heading1"/>
      </w:pPr>
      <w:r>
        <w:t xml:space="preserve">2.  The worked case — Samsung’s satellite venture</w:t>
      </w:r>
    </w:p>
    <w:p>
      <w:pPr>
        <w:spacing w:after="120" w:line="276"/>
      </w:pPr>
      <w:r>
        <w:t xml:space="preserve">We took a real investment-grade memo (a Samsung low-earth-orbit satellite venture) and ran it through a deep-uncertainty pipeline. Rather than ask “is the plan good?” we asked “under which futures does it win, and which futures would break it?”</w:t>
      </w:r>
    </w:p>
    <w:p>
      <w:pPr>
        <w:spacing w:after="120" w:line="276"/>
      </w:pPr>
      <w:r>
        <w:t xml:space="preserve">Two uncertainties genuinely could not be resolved by analysis: whether </w:t>
      </w:r>
      <w:r>
        <w:rPr>
          <w:b/>
          <w:bCs/>
        </w:rPr>
        <w:t xml:space="preserve">launch economics improve</w:t>
      </w:r>
      <w:r>
        <w:t xml:space="preserve"> (cheap orbit access) and whether </w:t>
      </w:r>
      <w:r>
        <w:rPr>
          <w:b/>
          <w:bCs/>
        </w:rPr>
        <w:t xml:space="preserve">sovereignty-driven demand</w:t>
      </w:r>
      <w:r>
        <w:t xml:space="preserve"> actually materializes (governments paying a premium for non-US-controlled satellite capacity). Crossing them gives four futures: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60"/>
        <w:gridCol w:w="3500"/>
        <w:gridCol w:w="3500"/>
      </w:tblGrid>
      <w:tr>
        <w:trPr>
          <w:tblHeader/>
        </w:trPr>
        <w:tc>
          <w:tcPr>
            <w:tcW w:type="dxa" w:w="2360"/>
            <w:tcBorders>
              <w:top w:val="single" w:color="CCCCCC" w:sz="1"/>
              <w:left w:val="single" w:color="CCCCCC" w:sz="1"/>
              <w:bottom w:val="single" w:color="CCCCCC" w:sz="1"/>
              <w:right w:val="single" w:color="CCCCCC" w:sz="1"/>
            </w:tcBorders>
            <w:shd w:fill="1E2761" w:val="clear"/>
            <w:tcMar>
              <w:top w:type="dxa" w:w="80"/>
              <w:left w:type="dxa" w:w="120"/>
              <w:bottom w:type="dxa" w:w="80"/>
              <w:right w:type="dxa" w:w="120"/>
            </w:tcMar>
          </w:tcPr>
          <w:p>
            <w:pPr>
              <w:spacing w:line="252"/>
            </w:pPr>
            <w:r>
              <w:rPr>
                <w:b w:val="false"/>
                <w:bCs w:val="false"/>
                <w:color w:val="000000"/>
              </w:rPr>
              <w:t xml:space="preserve"/>
            </w:r>
          </w:p>
        </w:tc>
        <w:tc>
          <w:tcPr>
            <w:tcW w:type="dxa" w:w="3500"/>
            <w:tcBorders>
              <w:top w:val="single" w:color="CCCCCC" w:sz="1"/>
              <w:left w:val="single" w:color="CCCCCC" w:sz="1"/>
              <w:bottom w:val="single" w:color="CCCCCC" w:sz="1"/>
              <w:right w:val="single" w:color="CCCCCC" w:sz="1"/>
            </w:tcBorders>
            <w:shd w:fill="1E2761" w:val="clear"/>
            <w:tcMar>
              <w:top w:type="dxa" w:w="80"/>
              <w:left w:type="dxa" w:w="120"/>
              <w:bottom w:type="dxa" w:w="80"/>
              <w:right w:type="dxa" w:w="120"/>
            </w:tcMar>
          </w:tcPr>
          <w:p>
            <w:pPr>
              <w:spacing w:line="252"/>
            </w:pPr>
            <w:r>
              <w:rPr>
                <w:b/>
                <w:bCs/>
                <w:color w:val="FFFFFF"/>
              </w:rPr>
              <w:t xml:space="preserve">Launch economics improve</w:t>
            </w:r>
          </w:p>
        </w:tc>
        <w:tc>
          <w:tcPr>
            <w:tcW w:type="dxa" w:w="3500"/>
            <w:tcBorders>
              <w:top w:val="single" w:color="CCCCCC" w:sz="1"/>
              <w:left w:val="single" w:color="CCCCCC" w:sz="1"/>
              <w:bottom w:val="single" w:color="CCCCCC" w:sz="1"/>
              <w:right w:val="single" w:color="CCCCCC" w:sz="1"/>
            </w:tcBorders>
            <w:shd w:fill="1E2761" w:val="clear"/>
            <w:tcMar>
              <w:top w:type="dxa" w:w="80"/>
              <w:left w:type="dxa" w:w="120"/>
              <w:bottom w:type="dxa" w:w="80"/>
              <w:right w:type="dxa" w:w="120"/>
            </w:tcMar>
          </w:tcPr>
          <w:p>
            <w:pPr>
              <w:spacing w:line="252"/>
            </w:pPr>
            <w:r>
              <w:rPr>
                <w:b/>
                <w:bCs/>
                <w:color w:val="FFFFFF"/>
              </w:rPr>
              <w:t xml:space="preserve">Launch economics stay high</w:t>
            </w:r>
          </w:p>
        </w:tc>
      </w:tr>
      <w:tr>
        <w:tc>
          <w:tcPr>
            <w:tcW w:type="dxa" w:w="236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pPr>
              <w:spacing w:line="252"/>
            </w:pPr>
            <w:r>
              <w:rPr>
                <w:b/>
                <w:bCs/>
                <w:color w:val="000000"/>
              </w:rPr>
              <w:t xml:space="preserve">Sovereignty demand strong</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52"/>
            </w:pPr>
            <w:r>
              <w:rPr>
                <w:b w:val="false"/>
                <w:bCs w:val="false"/>
                <w:color w:val="000000"/>
              </w:rPr>
              <w:t xml:space="preserve">W2 — Sovereign Plenty (the memo's bet)</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52"/>
            </w:pPr>
            <w:r>
              <w:rPr>
                <w:b w:val="false"/>
                <w:bCs w:val="false"/>
                <w:color w:val="000000"/>
              </w:rPr>
              <w:t xml:space="preserve">W1 — Gated Orbits</w:t>
            </w:r>
          </w:p>
        </w:tc>
      </w:tr>
      <w:tr>
        <w:tc>
          <w:tcPr>
            <w:tcW w:type="dxa" w:w="236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pPr>
              <w:spacing w:line="252"/>
            </w:pPr>
            <w:r>
              <w:rPr>
                <w:b/>
                <w:bCs/>
                <w:color w:val="000000"/>
              </w:rPr>
              <w:t xml:space="preserve">Sovereignty demand weak</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52"/>
            </w:pPr>
            <w:r>
              <w:rPr>
                <w:b w:val="false"/>
                <w:bCs w:val="false"/>
                <w:color w:val="000000"/>
              </w:rPr>
              <w:t xml:space="preserve">W4 — Contested Commodity</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52"/>
            </w:pPr>
            <w:r>
              <w:rPr>
                <w:b w:val="false"/>
                <w:bCs w:val="false"/>
                <w:color w:val="000000"/>
              </w:rPr>
              <w:t xml:space="preserve">W3 — Incumbent Citadel</w:t>
            </w:r>
          </w:p>
        </w:tc>
      </w:tr>
    </w:tbl>
    <w:p>
      <w:pPr>
        <w:spacing w:after="160" w:before="120"/>
      </w:pPr>
      <w:r>
        <w:rPr>
          <w:i/>
          <w:iCs/>
        </w:rPr>
        <w:t xml:space="preserve">Each world is a specific, internally consistent future — not a mood. The plan-as-written is effectively a bet that we land in W2.</w:t>
      </w:r>
    </w:p>
    <w:p>
      <w:pPr>
        <w:pStyle w:val="Heading2"/>
      </w:pPr>
      <w:r>
        <w:t xml:space="preserve">What the analysis found</w:t>
      </w:r>
    </w:p>
    <w:p>
      <w:pPr>
        <w:pStyle w:val="ListParagraph"/>
        <w:numPr>
          <w:ilvl w:val="0"/>
          <w:numId w:val="2"/>
        </w:numPr>
        <w:spacing w:after="80" w:line="276"/>
      </w:pPr>
      <w:r>
        <w:rPr>
          <w:b/>
          <w:bCs/>
        </w:rPr>
        <w:t xml:space="preserve">The plan-as-written carries the highest regret of any strategy. </w:t>
      </w:r>
      <w:r>
        <w:t xml:space="preserve">It wins big in one world (W2) and loses badly in the other three. The memo’s own discarded alternative — a “gateway-as-a-service” posture — is the most robust choice across all four futures.</w:t>
      </w:r>
    </w:p>
    <w:p>
      <w:pPr>
        <w:pStyle w:val="ListParagraph"/>
        <w:numPr>
          <w:ilvl w:val="0"/>
          <w:numId w:val="2"/>
        </w:numPr>
        <w:spacing w:after="80" w:line="276"/>
      </w:pPr>
      <w:r>
        <w:rPr>
          <w:b/>
          <w:bCs/>
        </w:rPr>
        <w:t xml:space="preserve">Two internal contradictions the memo didn’t catch. </w:t>
      </w:r>
      <w:r>
        <w:t xml:space="preserve">Stated manufacturing capacity (500 satellites/yr) cannot sustain the replenishment the plan itself requires (700–875/yr). And the Year 7–8 breakeven claim is incompatible with the memo’s own return range once you price the replenishment wall in Years 9–10.</w:t>
      </w:r>
    </w:p>
    <w:p>
      <w:pPr>
        <w:pStyle w:val="ListParagraph"/>
        <w:numPr>
          <w:ilvl w:val="0"/>
          <w:numId w:val="2"/>
        </w:numPr>
        <w:spacing w:after="80" w:line="276"/>
      </w:pPr>
      <w:r>
        <w:rPr>
          <w:b/>
          <w:bCs/>
        </w:rPr>
        <w:t xml:space="preserve">The memo prices everything and counts almost nothing. </w:t>
      </w:r>
      <w:r>
        <w:t xml:space="preserve">Price per site, per vessel, per user — all cited. The number of sites, vessels, and users — absent. The entire revenue case rests on volumes that were never stated. This turned out to be the single most important finding, and it points straight at a product standard (see decision 4).</w:t>
      </w:r>
    </w:p>
    <w:p>
      <w:pPr>
        <w:pStyle w:val="ListParagraph"/>
        <w:numPr>
          <w:ilvl w:val="0"/>
          <w:numId w:val="2"/>
        </w:numPr>
        <w:spacing w:after="80" w:line="276"/>
      </w:pPr>
      <w:r>
        <w:rPr>
          <w:b/>
          <w:bCs/>
        </w:rPr>
        <w:t xml:space="preserve">The rational move isn’t “pick the robust plan.” </w:t>
      </w:r>
      <w:r>
        <w:t xml:space="preserve">It’s to spend a small amount now to learn which world we’re in before committing capital. The memo’s own Phase-1 budget (~$1.5–2.5M) buys exactly that information against a worst-case downside measured in billions. We turned that into a trigger table: two cheap tests, four outcomes, four prepared responses.</w:t>
      </w:r>
    </w:p>
    <w:p>
      <w:pPr>
        <w:pStyle w:val="Heading1"/>
      </w:pPr>
      <w:r>
        <w:t xml:space="preserve">3.  Why this matters for the product</w:t>
      </w:r>
    </w:p>
    <w:p>
      <w:pPr>
        <w:spacing w:after="120" w:line="276"/>
      </w:pPr>
      <w:r>
        <w:t xml:space="preserve">The Samsung case wasn’t about Samsung. It was a demonstration that we can take an existing memo and add a layer most of the market can’t: a defensible account of how a strategy holds up across futures nobody can forecast. Three implications worth deciding on:</w:t>
      </w:r>
    </w:p>
    <w:p>
      <w:pPr>
        <w:pStyle w:val="ListParagraph"/>
        <w:numPr>
          <w:ilvl w:val="0"/>
          <w:numId w:val="2"/>
        </w:numPr>
        <w:spacing w:after="80" w:line="276"/>
      </w:pPr>
      <w:r>
        <w:rPr>
          <w:b/>
          <w:bCs/>
        </w:rPr>
        <w:t xml:space="preserve">The deliverable may be a loop, not a document. </w:t>
      </w:r>
      <w:r>
        <w:t xml:space="preserve">Every time the client learns which way a key uncertainty broke, the analysis re-runs on what’s still unknown. That is a recurring engagement, not a one-time memo.</w:t>
      </w:r>
    </w:p>
    <w:p>
      <w:pPr>
        <w:pStyle w:val="ListParagraph"/>
        <w:numPr>
          <w:ilvl w:val="0"/>
          <w:numId w:val="2"/>
        </w:numPr>
        <w:spacing w:after="80" w:line="276"/>
      </w:pPr>
      <w:r>
        <w:rPr>
          <w:b/>
          <w:bCs/>
        </w:rPr>
        <w:t xml:space="preserve">The hard part is framing, not computation. </w:t>
      </w:r>
      <w:r>
        <w:t xml:space="preserve">Choosing the right two axes is where the value and the risk both live. It is also where we are most exposed to the charge that we made the futures up. We need a principled answer — and there is one (see decision 2).</w:t>
      </w:r>
    </w:p>
    <w:p>
      <w:pPr>
        <w:pStyle w:val="ListParagraph"/>
        <w:numPr>
          <w:ilvl w:val="0"/>
          <w:numId w:val="2"/>
        </w:numPr>
        <w:spacing w:after="80" w:line="276"/>
      </w:pPr>
      <w:r>
        <w:rPr>
          <w:b/>
          <w:bCs/>
        </w:rPr>
        <w:t xml:space="preserve">Better memos make better models. </w:t>
      </w:r>
      <w:r>
        <w:t xml:space="preserve">The quality of the downstream analysis is capped by the quality of the upstream memo. That makes memo standards a product lever, not just an editorial one.</w:t>
      </w:r>
    </w:p>
    <w:p>
      <w:pPr>
        <w:pStyle w:val="Heading1"/>
      </w:pPr>
      <w:r>
        <w:t xml:space="preserve">4.  What I’m asking the group to decide Monday</w:t>
      </w:r>
    </w:p>
    <w:p>
      <w:pPr>
        <w:spacing w:after="120" w:line="276"/>
      </w:pPr>
      <w:r>
        <w:t xml:space="preserve">These are the five questions worth your time. Each is a real decision with a trade-off, not a status update. Coming in with a view on even one or two will let us drive to outcomes.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pPr>
              <w:spacing w:line="252"/>
            </w:pPr>
            <w:r>
              <w:rPr>
                <w:b/>
                <w:bCs/>
                <w:color w:val="000000"/>
              </w:rPr>
              <w:t xml:space="preserve">1</w:t>
            </w:r>
          </w:p>
        </w:tc>
        <w:tc>
          <w:tcPr>
            <w:tcW w:type="dxa" w:w="8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line="252"/>
            </w:pPr>
            <w:r>
              <w:rPr>
                <w:b/>
                <w:bCs/>
              </w:rPr>
              <w:t xml:space="preserve">Is the loop the product, or a feature of the memo?</w:t>
            </w:r>
          </w:p>
          <w:p>
            <w:pPr>
              <w:spacing w:line="252"/>
            </w:pPr>
            <w:r>
              <w:rPr>
                <w:color w:val="666666"/>
              </w:rPr>
              <w:t xml:space="preserve">The Samsung case shows the deliverable may not be a one-time memo but a subscription to a re-instantiating analysis — signpost monitoring between gates, re-framing at each gate. Decision: do we package this as a recurring engagement, and what does that do to pricing and delivery?</w:t>
            </w:r>
          </w:p>
        </w:tc>
      </w:tr>
      <w:tr>
        <w:tc>
          <w:tcPr>
            <w:tcW w:type="dxa" w:w="60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pPr>
              <w:spacing w:line="252"/>
            </w:pPr>
            <w:r>
              <w:rPr>
                <w:b/>
                <w:bCs/>
                <w:color w:val="000000"/>
              </w:rPr>
              <w:t xml:space="preserve">2</w:t>
            </w:r>
          </w:p>
        </w:tc>
        <w:tc>
          <w:tcPr>
            <w:tcW w:type="dxa" w:w="8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line="252"/>
            </w:pPr>
            <w:r>
              <w:rPr>
                <w:b/>
                <w:bCs/>
              </w:rPr>
              <w:t xml:space="preserve">How do we make robustness judgments defensible rather than confabulated?</w:t>
            </w:r>
          </w:p>
          <w:p>
            <w:pPr>
              <w:spacing w:line="252"/>
            </w:pPr>
            <w:r>
              <w:rPr>
                <w:color w:val="666666"/>
              </w:rPr>
              <w:t xml:space="preserve">The regret matrix is only as trustworthy as the worlds it runs over. We need a principled answer to “why these scenario axes and not others.” Proposed foundation: value-of-information measures (Price of Clairvoyance / Price of Information) to rank which uncertainties earn an axis. Decision: do we invest in operationalizing this?</w:t>
            </w:r>
          </w:p>
        </w:tc>
      </w:tr>
      <w:tr>
        <w:tc>
          <w:tcPr>
            <w:tcW w:type="dxa" w:w="60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pPr>
              <w:spacing w:line="252"/>
            </w:pPr>
            <w:r>
              <w:rPr>
                <w:b/>
                <w:bCs/>
                <w:color w:val="000000"/>
              </w:rPr>
              <w:t xml:space="preserve">3</w:t>
            </w:r>
          </w:p>
        </w:tc>
        <w:tc>
          <w:tcPr>
            <w:tcW w:type="dxa" w:w="8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line="252"/>
            </w:pPr>
            <w:r>
              <w:rPr>
                <w:b/>
                <w:bCs/>
              </w:rPr>
              <w:t xml:space="preserve">Where is the human-judgment boundary, and who owns it?</w:t>
            </w:r>
          </w:p>
          <w:p>
            <w:pPr>
              <w:spacing w:line="252"/>
            </w:pPr>
            <w:r>
              <w:rPr>
                <w:color w:val="666666"/>
              </w:rPr>
              <w:t xml:space="preserve">Axis selection (the framing step) does not automate — it is where expert judgment lives and where the method is most exposed. Decision: is this a senior-analyst function we staff for, a client-collaboration step, or both?</w:t>
            </w:r>
          </w:p>
        </w:tc>
      </w:tr>
      <w:tr>
        <w:tc>
          <w:tcPr>
            <w:tcW w:type="dxa" w:w="60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pPr>
              <w:spacing w:line="252"/>
            </w:pPr>
            <w:r>
              <w:rPr>
                <w:b/>
                <w:bCs/>
                <w:color w:val="000000"/>
              </w:rPr>
              <w:t xml:space="preserve">4</w:t>
            </w:r>
          </w:p>
        </w:tc>
        <w:tc>
          <w:tcPr>
            <w:tcW w:type="dxa" w:w="8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line="252"/>
            </w:pPr>
            <w:r>
              <w:rPr>
                <w:b/>
                <w:bCs/>
              </w:rPr>
              <w:t xml:space="preserve">Does memo quality become a product spec?</w:t>
            </w:r>
          </w:p>
          <w:p>
            <w:pPr>
              <w:spacing w:line="252"/>
            </w:pPr>
            <w:r>
              <w:rPr>
                <w:color w:val="666666"/>
              </w:rPr>
              <w:t xml:space="preserve">The case surfaced that better memos make better models make better scenarios. The clearest example: the Samsung memo prices everything and counts almost nothing. Decision: do we formalize “memos must ship volume ramps, not just price points” as an upstream standard?</w:t>
            </w:r>
          </w:p>
        </w:tc>
      </w:tr>
      <w:tr>
        <w:tc>
          <w:tcPr>
            <w:tcW w:type="dxa" w:w="60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pPr>
              <w:spacing w:line="252"/>
            </w:pPr>
            <w:r>
              <w:rPr>
                <w:b/>
                <w:bCs/>
                <w:color w:val="000000"/>
              </w:rPr>
              <w:t xml:space="preserve">5</w:t>
            </w:r>
          </w:p>
        </w:tc>
        <w:tc>
          <w:tcPr>
            <w:tcW w:type="dxa" w:w="8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line="252"/>
            </w:pPr>
            <w:r>
              <w:rPr>
                <w:b/>
                <w:bCs/>
              </w:rPr>
              <w:t xml:space="preserve">What do we show clients, and how do we frame the live artifact?</w:t>
            </w:r>
          </w:p>
          <w:p>
            <w:pPr>
              <w:spacing w:line="252"/>
            </w:pPr>
            <w:r>
              <w:rPr>
                <w:color w:val="666666"/>
              </w:rPr>
              <w:t xml:space="preserve">Execution risk is asymmetric — a failed live demo costs more than a successful one gains. Decision: do we run live demos only on pre-tested cases, and frame hands-on output explicitly as a pretotype rather than a production artifact?</w:t>
            </w:r>
          </w:p>
        </w:tc>
      </w:tr>
    </w:tbl>
    <w:p>
      <w:pPr>
        <w:pStyle w:val="Heading1"/>
      </w:pPr>
      <w:r>
        <w:t xml:space="preserve">5.  Before Monday</w:t>
      </w:r>
    </w:p>
    <w:p>
      <w:pPr>
        <w:pStyle w:val="ListParagraph"/>
        <w:numPr>
          <w:ilvl w:val="0"/>
          <w:numId w:val="3"/>
        </w:numPr>
        <w:spacing w:after="80" w:line="276"/>
      </w:pPr>
      <w:r>
        <w:rPr>
          <w:b/>
          <w:bCs/>
        </w:rPr>
        <w:t xml:space="preserve">Read this document </w:t>
      </w:r>
      <w:r>
        <w:t xml:space="preserve">(or the deck — same content). ~10 minutes.</w:t>
      </w:r>
    </w:p>
    <w:p>
      <w:pPr>
        <w:pStyle w:val="ListParagraph"/>
        <w:numPr>
          <w:ilvl w:val="0"/>
          <w:numId w:val="3"/>
        </w:numPr>
        <w:spacing w:after="80" w:line="276"/>
      </w:pPr>
      <w:r>
        <w:rPr>
          <w:b/>
          <w:bCs/>
        </w:rPr>
        <w:t xml:space="preserve">Pick one decision above you have the strongest view on </w:t>
      </w:r>
      <w:r>
        <w:t xml:space="preserve">and come ready to argue it.</w:t>
      </w:r>
    </w:p>
    <w:p>
      <w:pPr>
        <w:pStyle w:val="ListParagraph"/>
        <w:numPr>
          <w:ilvl w:val="0"/>
          <w:numId w:val="3"/>
        </w:numPr>
        <w:spacing w:after="80" w:line="276"/>
      </w:pPr>
      <w:r>
        <w:rPr>
          <w:b/>
          <w:bCs/>
        </w:rPr>
        <w:t xml:space="preserve">One question to hold in mind: </w:t>
      </w:r>
      <w:r>
        <w:rPr>
          <w:i/>
          <w:iCs/>
        </w:rPr>
        <w:t xml:space="preserve">If we sell “robust strategy under deep uncertainty,” what is the one thing a client could push on that we cannot yet defend?</w:t>
      </w:r>
    </w:p>
    <w:p>
      <w:pPr>
        <w:spacing w:before="160"/>
      </w:pPr>
      <w:r>
        <w:t xml:space="preserve">That last question is, deliberately, decision 2. It’s the one I think matters most.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lvl w:ilvl="1" w15:tentative="1">
      <w:start w:val="1"/>
      <w:numFmt w:val="bullet"/>
      <w:lvlText w:val="–"/>
      <w:lvlJc w:val="left"/>
      <w:pPr>
        <w:ind w:left="1000" w:hanging="260"/>
      </w:pPr>
    </w:lvl>
  </w:abstractNum>
  <w:abstractNum w:abstractNumId="3" w15:restartNumberingAfterBreak="0">
    <w:multiLevelType w:val="hybridMultilevel"/>
    <w:lvl w:ilvl="0" w15:tentative="1">
      <w:start w:val="1"/>
      <w:numFmt w:val="decimal"/>
      <w:lvlText w:val="%1."/>
      <w:lvlJc w:val="left"/>
      <w:pPr>
        <w:ind w:left="54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00"/>
      <w:outlineLvl w:val="0"/>
    </w:pPr>
    <w:rPr>
      <w:rFonts w:ascii="Cambria" w:cs="Cambria" w:eastAsia="Cambria" w:hAnsi="Cambria"/>
      <w:b/>
      <w:bCs/>
      <w:color w:val="1E2761"/>
      <w:sz w:val="30"/>
      <w:szCs w:val="30"/>
    </w:rPr>
  </w:style>
  <w:style w:type="paragraph" w:styleId="Heading2">
    <w:name w:val="Heading 2"/>
    <w:basedOn w:val="Normal"/>
    <w:next w:val="Normal"/>
    <w:qFormat/>
    <w:pPr>
      <w:spacing w:after="100" w:before="200"/>
      <w:outlineLvl w:val="1"/>
    </w:pPr>
    <w:rPr>
      <w:rFonts w:ascii="Cambria" w:cs="Cambria" w:eastAsia="Cambria" w:hAnsi="Cambria"/>
      <w:b/>
      <w:bCs/>
      <w:color w:val="36454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2026-06-12T07:46:27.551Z</dcterms:created>
  <dcterms:modified xsi:type="dcterms:W3CDTF">2026-06-12T07:46:27.553Z</dcterms:modified>
</cp:coreProperties>
</file>

<file path=docProps/custom.xml><?xml version="1.0" encoding="utf-8"?>
<Properties xmlns="http://schemas.openxmlformats.org/officeDocument/2006/custom-properties" xmlns:vt="http://schemas.openxmlformats.org/officeDocument/2006/docPropsVTypes"/>
</file>