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5B6"/>
          <w:sz w:val="22"/>
          <w:szCs w:val="22"/>
        </w:rPr>
        <w:t xml:space="preserve">STRATEGY BRIEF</w:t>
      </w:r>
    </w:p>
    <w:p>
      <w:pPr>
        <w:pBdr>
          <w:bottom w:val="single" w:color="2E75B6" w:sz="6" w:space="4"/>
        </w:pBdr>
        <w:spacing w:after="60"/>
      </w:pPr>
      <w:r>
        <w:rPr>
          <w:b/>
          <w:bCs/>
          <w:color w:val="1F3864"/>
          <w:sz w:val="48"/>
          <w:szCs w:val="48"/>
        </w:rPr>
        <w:t xml:space="preserve">Independent Car-Buying Program</w:t>
      </w:r>
    </w:p>
    <w:p>
      <w:pPr>
        <w:spacing w:after="40"/>
      </w:pPr>
      <w:r>
        <w:rPr>
          <w:i/>
          <w:iCs/>
          <w:color w:val="595959"/>
          <w:sz w:val="24"/>
          <w:szCs w:val="24"/>
        </w:rPr>
        <w:t xml:space="preserve">A national no-haggle buying &amp; delivery channel built on an arm’s-length entity</w:t>
      </w:r>
    </w:p>
    <w:p>
      <w:pPr>
        <w:spacing w:after="240"/>
      </w:pPr>
      <w:r>
        <w:rPr>
          <w:color w:val="595959"/>
          <w:sz w:val="20"/>
          <w:szCs w:val="20"/>
        </w:rPr>
        <w:t xml:space="preserve">Prepared for internal review  ·  Draft v1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9E2F3" w:val="clear"/>
            <w:tcMar>
              <w:top w:type="dxa" w:w="120"/>
              <w:left w:type="dxa" w:w="160"/>
              <w:bottom w:type="dxa" w:w="120"/>
              <w:right w:type="dxa" w:w="160"/>
            </w:tcMar>
          </w:tcPr>
          <w:p>
            <w:pPr>
              <w:spacing w:after="60"/>
            </w:pPr>
            <w:r>
              <w:rPr>
                <w:b/>
                <w:bCs/>
              </w:rPr>
              <w:t xml:space="preserve">Status: </w:t>
            </w:r>
            <w:r>
              <w:t xml:space="preserve">Concept / discussion draft for the leadership team. </w:t>
            </w:r>
            <w:r>
              <w:rPr>
                <w:b/>
                <w:bCs/>
              </w:rPr>
              <w:t xml:space="preserve">Not legal advice. </w:t>
            </w:r>
            <w:r>
              <w:t xml:space="preserve">The compliance and franchise items in this brief must be reviewed by qualified franchise/dealer-law counsel before any commitment.</w:t>
            </w:r>
          </w:p>
          <w:p>
            <w:r>
              <w:rPr>
                <w:b/>
                <w:bCs/>
              </w:rPr>
              <w:t xml:space="preserve">Data note: </w:t>
            </w:r>
            <w:r>
              <w:t xml:space="preserve">Search figures are Semrush U.S. estimates (monthly volume) pulled June 2026 and are directional, not exact.</w:t>
            </w:r>
          </w:p>
        </w:tc>
      </w:tr>
    </w:tbl>
    <w:p>
      <w:pPr>
        <w:spacing w:after="120"/>
      </w:pPr>
      <w:r>
        <w:t xml:space="preserv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line="276"/>
      </w:pPr>
      <w:r>
        <w:t xml:space="preserve">We have an opportunity to sell significantly more vehicles — inside and well outside our market — by launching a </w:t>
      </w:r>
      <w:r>
        <w:rPr>
          <w:b/>
          <w:bCs/>
        </w:rPr>
        <w:t xml:space="preserve">separately operated, arm’s-length car-buying program</w:t>
      </w:r>
      <w:r>
        <w:t xml:space="preserve"> that advertises nationally, presents a real upfront price, and delivers the vehicle to the customer’s door. The program runs as its own company with its own management and funding, and operates a preferred dealer network in which our stores get first opportunity on anything we can fulfill.</w:t>
      </w:r>
    </w:p>
    <w:p>
      <w:pPr>
        <w:spacing w:after="160" w:line="276"/>
      </w:pPr>
      <w:r>
        <w:t xml:space="preserve">The strategic unlock is simple: OEM advertising restrictions (no advertising below MSRP, no advertising outside our PMA, or dollar caps on discounts) bind </w:t>
      </w:r>
      <w:r>
        <w:rPr>
          <w:b/>
          <w:bCs/>
        </w:rPr>
        <w:t xml:space="preserve">us as a franchised dealer</w:t>
      </w:r>
      <w:r>
        <w:t xml:space="preserve"> — not an independent third-party buying service. This is the same lane TrueCar, Costco Auto, and CarEdge already operate in, with manufacturer awareness.</w:t>
      </w:r>
    </w:p>
    <w:p>
      <w:pPr>
        <w:spacing w:after="160" w:line="276"/>
      </w:pPr>
      <w:r>
        <w:t xml:space="preserve">Market research reframed the plan in a useful way. The “car broker” search category is small (~17K U.S. searches/month total) and dominated by incumbents. But </w:t>
      </w:r>
      <w:r>
        <w:rPr>
          <w:b/>
          <w:bCs/>
        </w:rPr>
        <w:t xml:space="preserve">model-level demand is 10–50× larger and concentrated in our lowest-risk brands</w:t>
      </w:r>
      <w:r>
        <w:t xml:space="preserve"> (Jeep, Ram, Ford). The recommendation is therefore to lead with a </w:t>
      </w:r>
      <w:r>
        <w:rPr>
          <w:b/>
          <w:bCs/>
        </w:rPr>
        <w:t xml:space="preserve">nationwide no-haggle delivery offer on high-demand trucks and SUVs</w:t>
      </w:r>
      <w:r>
        <w:t xml:space="preserve">, not a generic broker site.</w:t>
      </w:r>
    </w:p>
    <w:p>
      <w:pPr>
        <w:spacing w:after="160" w:line="276"/>
      </w:pPr>
      <w:r>
        <w:rPr>
          <w:b/>
          <w:bCs/>
        </w:rPr>
        <w:t xml:space="preserve">Recommended first move: </w:t>
      </w:r>
      <w:r>
        <w:t xml:space="preserve">launch Phase 1 on our open brands (CDJR, Ford, Lincoln, MINI), prove the operating model with near-zero compliance exposure, and gate the higher-value but higher-risk brands (BMW, VW) behind franchise-counsel review.</w:t>
      </w:r>
    </w:p>
    <w:p>
      <w:pPr>
        <w:pStyle w:val="Heading1"/>
      </w:pPr>
      <w:r>
        <w:t xml:space="preserve">2. The Opportunity &amp; Core Insight</w:t>
      </w:r>
    </w:p>
    <w:p>
      <w:pPr>
        <w:spacing w:after="160" w:line="276"/>
      </w:pPr>
      <w:r>
        <w:rPr>
          <w:b/>
          <w:bCs/>
        </w:rPr>
        <w:t xml:space="preserve">The problem we live with today: </w:t>
      </w:r>
      <w:r>
        <w:t xml:space="preserve">our OEMs limit how, where, and at what price we can advertise. The public internet shows MSRP or token discounts, even though we routinely sell for less. Customers can’t see our real pricing, and we can’t legally reach buyers outside our PMA — so we leave volume on the table.</w:t>
      </w:r>
    </w:p>
    <w:p>
      <w:pPr>
        <w:spacing w:after="160" w:line="276"/>
      </w:pPr>
      <w:r>
        <w:rPr>
          <w:b/>
          <w:bCs/>
        </w:rPr>
        <w:t xml:space="preserve">Why a separate entity solves it: </w:t>
      </w:r>
      <w:r>
        <w:t xml:space="preserve">manufacturer advertising rules and PMA limits apply to the franchised dealer. A genuine third-party buying program advertises its own offer nationally and refers buyers to a dealer network. That is an established, manufacturer-tolerated model — our dealers can already participate in programs like it today.</w:t>
      </w:r>
    </w:p>
    <w:p>
      <w:pPr>
        <w:spacing w:after="160" w:line="276"/>
      </w:pPr>
      <w:r>
        <w:rPr>
          <w:b/>
          <w:bCs/>
        </w:rPr>
        <w:t xml:space="preserve">The guardrail that makes it durable: </w:t>
      </w:r>
      <w:r>
        <w:t xml:space="preserve">the program must be transparent and operated at arm’s length — a real company, its own manager paid by that company, disclosed as a buying service with a preferred dealer network. Disclosure costs nothing on the customer side (nobody feels cheated using Costco Auto) and is precisely what keeps the structure defensible. The value to the buyer — a real price, no haggling, delivered — is fully intact.</w:t>
      </w:r>
    </w:p>
    <w:p>
      <w:pPr>
        <w:pStyle w:val="Heading1"/>
      </w:pPr>
      <w:r>
        <w:t xml:space="preserve">3. Compliance Risk Tiering</w:t>
      </w:r>
    </w:p>
    <w:p>
      <w:pPr>
        <w:spacing w:after="160" w:line="276"/>
      </w:pPr>
      <w:r>
        <w:t xml:space="preserve">The ten franchises sort into three tiers by </w:t>
      </w:r>
      <w:r>
        <w:rPr>
          <w:b/>
          <w:bCs/>
        </w:rPr>
        <w:t xml:space="preserve">how much circumvention work the entity is doing</w:t>
      </w:r>
      <w:r>
        <w:t xml:space="preserve"> — which is the real risk dial. This ordering drives the rollout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060"/>
        <w:gridCol w:w="240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Tier</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Brands</w:t>
            </w:r>
          </w:p>
        </w:tc>
        <w:tc>
          <w:tcPr>
            <w:tcW w:type="dxa" w:w="3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What the entity does</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Risk / heat</w:t>
            </w:r>
          </w:p>
        </w:tc>
      </w:tr>
      <w:tr>
        <w:tc>
          <w:tcPr>
            <w:tcW w:type="dxa" w:w="15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bCs/>
                <w:sz w:val="20"/>
                <w:szCs w:val="20"/>
              </w:rPr>
              <w:t xml:space="preserve">Open</w:t>
            </w:r>
          </w:p>
        </w:tc>
        <w:tc>
          <w:tcPr>
            <w:tcW w:type="dxa" w:w="2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sz w:val="20"/>
                <w:szCs w:val="20"/>
              </w:rPr>
              <w:t xml:space="preserve">CDJR, Ford, Lincoln, MINI</w:t>
            </w:r>
          </w:p>
        </w:tc>
        <w:tc>
          <w:tcPr>
            <w:tcW w:type="dxa" w:w="30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sz w:val="20"/>
                <w:szCs w:val="20"/>
              </w:rPr>
              <w:t xml:space="preserve">Pure national reach + no-haggle UX. No price circumvention.</w:t>
            </w:r>
          </w:p>
        </w:tc>
        <w:tc>
          <w:tcPr>
            <w:tcW w:type="dxa" w:w="2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sz w:val="20"/>
                <w:szCs w:val="20"/>
              </w:rPr>
              <w:t xml:space="preserve">Low — launch now</w:t>
            </w:r>
          </w:p>
        </w:tc>
      </w:tr>
      <w:tr>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b/>
                <w:bCs/>
                <w:sz w:val="20"/>
                <w:szCs w:val="20"/>
              </w:rPr>
              <w:t xml:space="preserve">Capped</w:t>
            </w:r>
          </w:p>
        </w:tc>
        <w:tc>
          <w:tcPr>
            <w:tcW w:type="dxa" w:w="2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sz w:val="20"/>
                <w:szCs w:val="20"/>
              </w:rPr>
              <w:t xml:space="preserve">Nissan, Chevrolet, Mazda</w:t>
            </w:r>
          </w:p>
        </w:tc>
        <w:tc>
          <w:tcPr>
            <w:tcW w:type="dxa" w:w="30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sz w:val="20"/>
                <w:szCs w:val="20"/>
              </w:rPr>
              <w:t xml:space="preserve">Can advertise to the dollar cap as a dealer; entity’s extra job is beating the cap.</w:t>
            </w:r>
          </w:p>
        </w:tc>
        <w:tc>
          <w:tcPr>
            <w:tcW w:type="dxa" w:w="2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sz w:val="20"/>
                <w:szCs w:val="20"/>
              </w:rPr>
              <w:t xml:space="preserve">Moderate</w:t>
            </w:r>
          </w:p>
        </w:tc>
      </w:tr>
      <w:tr>
        <w:tc>
          <w:tcPr>
            <w:tcW w:type="dxa" w:w="1500"/>
            <w:tcBorders>
              <w:top w:val="single" w:color="BFBFBF" w:sz="1"/>
              <w:left w:val="single" w:color="BFBFBF" w:sz="1"/>
              <w:bottom w:val="single" w:color="BFBFBF" w:sz="1"/>
              <w:right w:val="single" w:color="BFBFBF" w:sz="1"/>
            </w:tcBorders>
            <w:shd w:fill="FBE4E4" w:val="clear"/>
            <w:tcMar>
              <w:top w:type="dxa" w:w="80"/>
              <w:left w:type="dxa" w:w="120"/>
              <w:bottom w:type="dxa" w:w="80"/>
              <w:right w:type="dxa" w:w="120"/>
            </w:tcMar>
          </w:tcPr>
          <w:p>
            <w:r>
              <w:rPr>
                <w:b/>
                <w:bCs/>
                <w:sz w:val="20"/>
                <w:szCs w:val="20"/>
              </w:rPr>
              <w:t xml:space="preserve">Locked</w:t>
            </w:r>
          </w:p>
        </w:tc>
        <w:tc>
          <w:tcPr>
            <w:tcW w:type="dxa" w:w="2400"/>
            <w:tcBorders>
              <w:top w:val="single" w:color="BFBFBF" w:sz="1"/>
              <w:left w:val="single" w:color="BFBFBF" w:sz="1"/>
              <w:bottom w:val="single" w:color="BFBFBF" w:sz="1"/>
              <w:right w:val="single" w:color="BFBFBF" w:sz="1"/>
            </w:tcBorders>
            <w:shd w:fill="FBE4E4" w:val="clear"/>
            <w:tcMar>
              <w:top w:type="dxa" w:w="80"/>
              <w:left w:type="dxa" w:w="120"/>
              <w:bottom w:type="dxa" w:w="80"/>
              <w:right w:type="dxa" w:w="120"/>
            </w:tcMar>
          </w:tcPr>
          <w:p>
            <w:r>
              <w:rPr>
                <w:sz w:val="20"/>
                <w:szCs w:val="20"/>
              </w:rPr>
              <w:t xml:space="preserve">BMW, VW, Subaru</w:t>
            </w:r>
          </w:p>
        </w:tc>
        <w:tc>
          <w:tcPr>
            <w:tcW w:type="dxa" w:w="3060"/>
            <w:tcBorders>
              <w:top w:val="single" w:color="BFBFBF" w:sz="1"/>
              <w:left w:val="single" w:color="BFBFBF" w:sz="1"/>
              <w:bottom w:val="single" w:color="BFBFBF" w:sz="1"/>
              <w:right w:val="single" w:color="BFBFBF" w:sz="1"/>
            </w:tcBorders>
            <w:shd w:fill="FBE4E4" w:val="clear"/>
            <w:tcMar>
              <w:top w:type="dxa" w:w="80"/>
              <w:left w:type="dxa" w:w="120"/>
              <w:bottom w:type="dxa" w:w="80"/>
              <w:right w:type="dxa" w:w="120"/>
            </w:tcMar>
          </w:tcPr>
          <w:p>
            <w:r>
              <w:rPr>
                <w:sz w:val="20"/>
                <w:szCs w:val="20"/>
              </w:rPr>
              <w:t xml:space="preserve">Advertises below an outright MSRP ban — the entity does what the franchise forbids the dealer to do.</w:t>
            </w:r>
          </w:p>
        </w:tc>
        <w:tc>
          <w:tcPr>
            <w:tcW w:type="dxa" w:w="2400"/>
            <w:tcBorders>
              <w:top w:val="single" w:color="BFBFBF" w:sz="1"/>
              <w:left w:val="single" w:color="BFBFBF" w:sz="1"/>
              <w:bottom w:val="single" w:color="BFBFBF" w:sz="1"/>
              <w:right w:val="single" w:color="BFBFBF" w:sz="1"/>
            </w:tcBorders>
            <w:shd w:fill="FBE4E4" w:val="clear"/>
            <w:tcMar>
              <w:top w:type="dxa" w:w="80"/>
              <w:left w:type="dxa" w:w="120"/>
              <w:bottom w:type="dxa" w:w="80"/>
              <w:right w:type="dxa" w:w="120"/>
            </w:tcMar>
          </w:tcPr>
          <w:p>
            <w:r>
              <w:rPr>
                <w:sz w:val="20"/>
                <w:szCs w:val="20"/>
              </w:rPr>
              <w:t xml:space="preserve">High — counsel-gated</w:t>
            </w:r>
          </w:p>
        </w:tc>
      </w:tr>
    </w:tbl>
    <w:p>
      <w:pPr>
        <w:spacing w:after="120" w:before="160"/>
      </w:pPr>
      <w:r>
        <w:rPr>
          <w:b/>
          <w:bCs/>
        </w:rPr>
        <w:t xml:space="preserve">Within the locked tier:</w:t>
      </w:r>
    </w:p>
    <w:p>
      <w:pPr>
        <w:pStyle w:val="ListParagraph"/>
        <w:numPr>
          <w:ilvl w:val="0"/>
          <w:numId w:val="2"/>
        </w:numPr>
        <w:spacing w:after="80" w:line="276"/>
      </w:pPr>
      <w:r>
        <w:rPr>
          <w:b/>
          <w:bCs/>
        </w:rPr>
        <w:t xml:space="preserve">BMW — </w:t>
      </w:r>
      <w:r>
        <w:t xml:space="preserve">biggest real gap (sells well under sticker) but the most aggressive enforcer. Highest reward, highest voltage. Cannot advertise below MSRP or outside PMA.</w:t>
      </w:r>
    </w:p>
    <w:p>
      <w:pPr>
        <w:pStyle w:val="ListParagraph"/>
        <w:numPr>
          <w:ilvl w:val="0"/>
          <w:numId w:val="2"/>
        </w:numPr>
        <w:spacing w:after="80" w:line="276"/>
      </w:pPr>
      <w:r>
        <w:rPr>
          <w:b/>
          <w:bCs/>
        </w:rPr>
        <w:t xml:space="preserve">VW — </w:t>
      </w:r>
      <w:r>
        <w:t xml:space="preserve">locked on paper but room and margin to deliver a discount. The sleeper: good payoff, less enforcement drama.</w:t>
      </w:r>
    </w:p>
    <w:p>
      <w:pPr>
        <w:pStyle w:val="ListParagraph"/>
        <w:numPr>
          <w:ilvl w:val="0"/>
          <w:numId w:val="2"/>
        </w:numPr>
        <w:spacing w:after="80" w:line="276"/>
      </w:pPr>
      <w:r>
        <w:rPr>
          <w:b/>
          <w:bCs/>
        </w:rPr>
        <w:t xml:space="preserve">Subaru — </w:t>
      </w:r>
      <w:r>
        <w:t xml:space="preserve">locked advertising, but vehicles transact near MSRP with thin margins, so the deliverable discount is small. Recommend parking it.</w:t>
      </w:r>
    </w:p>
    <w:p>
      <w:pPr>
        <w:pStyle w:val="Heading1"/>
      </w:pPr>
      <w:r>
        <w:t xml:space="preserve">4. Demand Data: Where The Buyers Actually Are</w:t>
      </w:r>
    </w:p>
    <w:p>
      <w:pPr>
        <w:spacing w:after="160" w:line="276"/>
      </w:pPr>
      <w:r>
        <w:t xml:space="preserve">The “car broker” category is a poor foundation. The entire intent cluster is only ~17K U.S. searches/month, and “buy car below MSRP” gets </w:t>
      </w:r>
      <w:r>
        <w:rPr>
          <w:b/>
          <w:bCs/>
        </w:rPr>
        <w:t xml:space="preserve">20 searches a month</w:t>
      </w:r>
      <w:r>
        <w:t xml:space="preserve"> — “below MSRP” is our pitch, not the customer’s query. Buyers search by model, at far higher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rPr>
          <w:tblHeader/>
        </w:trPr>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Model</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U.S. searches/mo</w:t>
            </w:r>
          </w:p>
        </w:tc>
        <w:tc>
          <w:tcPr>
            <w:tcW w:type="dxa" w:w="4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Brand tier</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Jeep Wrangler</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74,000</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 (CDJR)</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Ford Bronco</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60,500</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 (Ford)</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Ram 1500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40,500</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 (CDJR)</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Jeep Grand Cherokee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40,500</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 (CDJR)</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Jeep Gladiator</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40,500</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 (CDJR)</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Ford F-150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33,100</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 (Ford)</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Ford Maverick</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33,100</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 (Ford)</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Dodge Charger</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33,100</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 (CDJR)</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Chevy Silverado</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27,100</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Capped</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MINI Cooper</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22,200</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 (MINI)</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Lincoln Navigator</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18,100</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 (Lincoln)</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Nissan Rogue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18,100</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Capped</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Lincoln Aviator</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12,100</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 (Lincoln)</w:t>
            </w:r>
          </w:p>
        </w:tc>
      </w:tr>
      <w:tr>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Mazda CX-5 / CX-50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5,400 / 4,400</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Capped</w:t>
            </w:r>
          </w:p>
        </w:tc>
      </w:tr>
    </w:tbl>
    <w:p>
      <w:pPr>
        <w:spacing w:after="160" w:line="276"/>
      </w:pPr>
      <w:r>
        <w:t xml:space="preserve">The takeaway is hard to miss: </w:t>
      </w:r>
      <w:r>
        <w:rPr>
          <w:b/>
          <w:bCs/>
        </w:rPr>
        <w:t xml:space="preserve">the Jeep Wrangler alone outsearches the entire broker category roughly 4×</w:t>
      </w:r>
      <w:r>
        <w:t xml:space="preserve">, and our highest-demand models are our lowest-risk (open) brands. Cost-per-click on these terms is cheap ($0.60–$1.76) and brokers are not bidding on them.</w:t>
      </w:r>
    </w:p>
    <w:p>
      <w:pPr>
        <w:pStyle w:val="Heading1"/>
      </w:pPr>
      <w:r>
        <w:t xml:space="preserve">5. Competitor Landscape</w:t>
      </w:r>
    </w:p>
    <w:p>
      <w:pPr>
        <w:spacing w:after="160" w:line="276"/>
      </w:pPr>
      <w:r>
        <w:t xml:space="preserve">The big incumbents own the generic category terms; the small “broker” players that inspired this idea are effectively invisible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Player</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Est. organic visits/mo</w:t>
            </w:r>
          </w:p>
        </w:tc>
        <w:tc>
          <w:tcPr>
            <w:tcW w:type="dxa" w:w="4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Read</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TrueCar</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~1,140,000</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Category gorilla. Owns “car buying service” terms. Don’t fight head-on.</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CarEdge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~340,000</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Content / YouTube concierge play.</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Costco Auto</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~239,000</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Membership-gated; also buys paid search (~$23K/mo).</w:t>
            </w:r>
          </w:p>
        </w:tc>
      </w:tr>
      <w:tr>
        <w:tc>
          <w:tcPr>
            <w:tcW w:type="dxa" w:w="2600"/>
            <w:tcBorders>
              <w:top w:val="single" w:color="BFBFBF" w:sz="1"/>
              <w:left w:val="single" w:color="BFBFBF" w:sz="1"/>
              <w:bottom w:val="single" w:color="BFBFBF" w:sz="1"/>
              <w:right w:val="single" w:color="BFBFBF" w:sz="1"/>
            </w:tcBorders>
            <w:shd w:fill="FBE4E4" w:val="clear"/>
            <w:tcMar>
              <w:top w:type="dxa" w:w="80"/>
              <w:left w:type="dxa" w:w="120"/>
              <w:bottom w:type="dxa" w:w="80"/>
              <w:right w:type="dxa" w:w="120"/>
            </w:tcMar>
          </w:tcPr>
          <w:p>
            <w:r>
              <w:rPr>
                <w:b/>
                <w:bCs/>
                <w:sz w:val="20"/>
                <w:szCs w:val="20"/>
              </w:rPr>
              <w:t xml:space="preserve">BrokerDudes</w:t>
            </w:r>
          </w:p>
        </w:tc>
        <w:tc>
          <w:tcPr>
            <w:tcW w:type="dxa" w:w="2400"/>
            <w:tcBorders>
              <w:top w:val="single" w:color="BFBFBF" w:sz="1"/>
              <w:left w:val="single" w:color="BFBFBF" w:sz="1"/>
              <w:bottom w:val="single" w:color="BFBFBF" w:sz="1"/>
              <w:right w:val="single" w:color="BFBFBF" w:sz="1"/>
            </w:tcBorders>
            <w:shd w:fill="FBE4E4" w:val="clear"/>
            <w:tcMar>
              <w:top w:type="dxa" w:w="80"/>
              <w:left w:type="dxa" w:w="120"/>
              <w:bottom w:type="dxa" w:w="80"/>
              <w:right w:type="dxa" w:w="120"/>
            </w:tcMar>
          </w:tcPr>
          <w:p>
            <w:r>
              <w:rPr>
                <w:sz w:val="20"/>
                <w:szCs w:val="20"/>
              </w:rPr>
              <w:t xml:space="preserve">~0 (6 keywords)</w:t>
            </w:r>
          </w:p>
        </w:tc>
        <w:tc>
          <w:tcPr>
            <w:tcW w:type="dxa" w:w="4360"/>
            <w:tcBorders>
              <w:top w:val="single" w:color="BFBFBF" w:sz="1"/>
              <w:left w:val="single" w:color="BFBFBF" w:sz="1"/>
              <w:bottom w:val="single" w:color="BFBFBF" w:sz="1"/>
              <w:right w:val="single" w:color="BFBFBF" w:sz="1"/>
            </w:tcBorders>
            <w:shd w:fill="FBE4E4" w:val="clear"/>
            <w:tcMar>
              <w:top w:type="dxa" w:w="80"/>
              <w:left w:type="dxa" w:w="120"/>
              <w:bottom w:type="dxa" w:w="80"/>
              <w:right w:type="dxa" w:w="120"/>
            </w:tcMar>
          </w:tcPr>
          <w:p>
            <w:r>
              <w:rPr>
                <w:sz w:val="20"/>
                <w:szCs w:val="20"/>
              </w:rPr>
              <w:t xml:space="preserve">Ranked ~18,000,000th. Runs on social / word-of-mouth, no search moat at all.</w:t>
            </w:r>
          </w:p>
        </w:tc>
      </w:tr>
    </w:tbl>
    <w:p>
      <w:pPr>
        <w:spacing w:after="160" w:line="276"/>
      </w:pPr>
      <w:r>
        <w:rPr>
          <w:b/>
          <w:bCs/>
        </w:rPr>
        <w:t xml:space="preserve">The opening: </w:t>
      </w:r>
      <w:r>
        <w:t xml:space="preserve">don’t compete for “car broker.” Intercept model-intent shoppers (the 74K hunting a Wrangler) with “real upfront price, delivered anywhere in the country.” The niche broker lane has no SEO defense — differentiation is offer, trust, and our inventory depth.</w:t>
      </w:r>
    </w:p>
    <w:p>
      <w:pPr>
        <w:pStyle w:val="Heading1"/>
      </w:pPr>
      <w:r>
        <w:t xml:space="preserve">6. Recommended Phase 1 Play</w:t>
      </w:r>
    </w:p>
    <w:p>
      <w:pPr>
        <w:spacing w:after="160" w:line="276"/>
      </w:pPr>
      <w:r>
        <w:rPr>
          <w:b/>
          <w:bCs/>
        </w:rPr>
        <w:t xml:space="preserve">Reframe: </w:t>
      </w:r>
      <w:r>
        <w:t xml:space="preserve">this is not a “car broker website.” It is a </w:t>
      </w:r>
      <w:r>
        <w:rPr>
          <w:b/>
          <w:bCs/>
        </w:rPr>
        <w:t xml:space="preserve">nationwide no-haggle delivery channel for high-demand trucks and SUVs</w:t>
      </w:r>
      <w:r>
        <w:t xml:space="preserve">, marketed against model searches, fulfilled first by our stores.</w:t>
      </w:r>
    </w:p>
    <w:p>
      <w:pPr>
        <w:pStyle w:val="ListParagraph"/>
        <w:numPr>
          <w:ilvl w:val="0"/>
          <w:numId w:val="2"/>
        </w:numPr>
        <w:spacing w:after="80" w:line="276"/>
      </w:pPr>
      <w:r>
        <w:rPr>
          <w:b/>
          <w:bCs/>
        </w:rPr>
        <w:t xml:space="preserve">Lead inventory: </w:t>
      </w:r>
      <w:r>
        <w:t xml:space="preserve">Jeep Wrangler, Gladiator, Grand Cherokee; Ram 1500; Ford Bronco, F-150, Maverick. Add MINI as a clean premium-niche play (22K demand).</w:t>
      </w:r>
    </w:p>
    <w:p>
      <w:pPr>
        <w:pStyle w:val="ListParagraph"/>
        <w:numPr>
          <w:ilvl w:val="0"/>
          <w:numId w:val="2"/>
        </w:numPr>
        <w:spacing w:after="80" w:line="276"/>
      </w:pPr>
      <w:r>
        <w:rPr>
          <w:b/>
          <w:bCs/>
        </w:rPr>
        <w:t xml:space="preserve">Offer: </w:t>
      </w:r>
      <w:r>
        <w:t xml:space="preserve">transparent upfront price below what the customer sees locally, no negotiation, nationwide transport to the driveway.</w:t>
      </w:r>
    </w:p>
    <w:p>
      <w:pPr>
        <w:pStyle w:val="ListParagraph"/>
        <w:numPr>
          <w:ilvl w:val="0"/>
          <w:numId w:val="2"/>
        </w:numPr>
        <w:spacing w:after="80" w:line="276"/>
      </w:pPr>
      <w:r>
        <w:rPr>
          <w:b/>
          <w:bCs/>
        </w:rPr>
        <w:t xml:space="preserve">Acquisition: </w:t>
      </w:r>
      <w:r>
        <w:t xml:space="preserve">paid + organic search on model-intent terms (cheap, uncontested by brokers), not on generic broker terms.</w:t>
      </w:r>
    </w:p>
    <w:p>
      <w:pPr>
        <w:pStyle w:val="ListParagraph"/>
        <w:numPr>
          <w:ilvl w:val="0"/>
          <w:numId w:val="2"/>
        </w:numPr>
        <w:spacing w:after="80" w:line="276"/>
      </w:pPr>
      <w:r>
        <w:rPr>
          <w:b/>
          <w:bCs/>
        </w:rPr>
        <w:t xml:space="preserve">Why this de-risks us: </w:t>
      </w:r>
      <w:r>
        <w:t xml:space="preserve">our highest-demand models are our open brands — we can market loudly with essentially no circumvention exposure while the operating model is proven.</w:t>
      </w:r>
    </w:p>
    <w:p>
      <w:pPr>
        <w:pStyle w:val="Heading2"/>
      </w:pPr>
      <w:r>
        <w:t xml:space="preserve">Phased rollout</w:t>
      </w:r>
    </w:p>
    <w:p>
      <w:pPr>
        <w:pStyle w:val="ListParagraph"/>
        <w:numPr>
          <w:ilvl w:val="0"/>
          <w:numId w:val="3"/>
        </w:numPr>
        <w:spacing w:after="100" w:line="276"/>
      </w:pPr>
      <w:r>
        <w:rPr>
          <w:b/>
          <w:bCs/>
        </w:rPr>
        <w:t xml:space="preserve">Phase 1 — launch clean (now): </w:t>
      </w:r>
      <w:r>
        <w:t xml:space="preserve">Open brands. Build and battle-test the site, fee flow, lead routing, and delivery logistics with no circumvention exposure.</w:t>
      </w:r>
    </w:p>
    <w:p>
      <w:pPr>
        <w:pStyle w:val="ListParagraph"/>
        <w:numPr>
          <w:ilvl w:val="0"/>
          <w:numId w:val="3"/>
        </w:numPr>
        <w:spacing w:after="100" w:line="276"/>
      </w:pPr>
      <w:r>
        <w:rPr>
          <w:b/>
          <w:bCs/>
        </w:rPr>
        <w:t xml:space="preserve">Phase 2 — add capped brands (early): </w:t>
      </w:r>
      <w:r>
        <w:t xml:space="preserve">Nissan, Chevy, Mazda. Even staying within the caps already beats what we can advertise out-of-market today.</w:t>
      </w:r>
    </w:p>
    <w:p>
      <w:pPr>
        <w:pStyle w:val="ListParagraph"/>
        <w:numPr>
          <w:ilvl w:val="0"/>
          <w:numId w:val="3"/>
        </w:numPr>
        <w:spacing w:after="100" w:line="276"/>
      </w:pPr>
      <w:r>
        <w:rPr>
          <w:b/>
          <w:bCs/>
        </w:rPr>
        <w:t xml:space="preserve">Phase 3 — gated locked brands: </w:t>
      </w:r>
      <w:r>
        <w:t xml:space="preserve">BMW for upside, VW behind it, only after franchise counsel blesses the structure. Bolt onto an engine that already works.</w:t>
      </w:r>
    </w:p>
    <w:p>
      <w:pPr>
        <w:pStyle w:val="Heading1"/>
      </w:pPr>
      <w:r>
        <w:t xml:space="preserve">7. Open Questions for the Team</w:t>
      </w:r>
    </w:p>
    <w:p>
      <w:pPr>
        <w:pStyle w:val="ListParagraph"/>
        <w:numPr>
          <w:ilvl w:val="0"/>
          <w:numId w:val="2"/>
        </w:numPr>
        <w:spacing w:after="80" w:line="276"/>
      </w:pPr>
      <w:r>
        <w:rPr>
          <w:b/>
          <w:bCs/>
        </w:rPr>
        <w:t xml:space="preserve">Legal review: </w:t>
      </w:r>
      <w:r>
        <w:t xml:space="preserve">Will an affiliated buying service advertising below-MSRP / out-of-PMA vehicles trip our specific franchise agreements? This is the gating question for the locked tier and needs franchise/dealer-law counsel.</w:t>
      </w:r>
    </w:p>
    <w:p>
      <w:pPr>
        <w:pStyle w:val="ListParagraph"/>
        <w:numPr>
          <w:ilvl w:val="0"/>
          <w:numId w:val="2"/>
        </w:numPr>
        <w:spacing w:after="80" w:line="276"/>
      </w:pPr>
      <w:r>
        <w:rPr>
          <w:b/>
          <w:bCs/>
        </w:rPr>
        <w:t xml:space="preserve">Entity &amp; ownership: </w:t>
      </w:r>
      <w:r>
        <w:t xml:space="preserve">How is the company structured, funded, and disclosed? Confirm the arm’s-length operating standard (separate management, separate funds) we can defend.</w:t>
      </w:r>
    </w:p>
    <w:p>
      <w:pPr>
        <w:pStyle w:val="ListParagraph"/>
        <w:numPr>
          <w:ilvl w:val="0"/>
          <w:numId w:val="2"/>
        </w:numPr>
        <w:spacing w:after="80" w:line="276"/>
      </w:pPr>
      <w:r>
        <w:rPr>
          <w:b/>
          <w:bCs/>
        </w:rPr>
        <w:t xml:space="preserve">Fee model: </w:t>
      </w:r>
      <w:r>
        <w:t xml:space="preserve">Buyer-paid flat fee, dealer-side referral fee, membership, or a combination?</w:t>
      </w:r>
    </w:p>
    <w:p>
      <w:pPr>
        <w:pStyle w:val="ListParagraph"/>
        <w:numPr>
          <w:ilvl w:val="0"/>
          <w:numId w:val="2"/>
        </w:numPr>
        <w:spacing w:after="80" w:line="276"/>
      </w:pPr>
      <w:r>
        <w:rPr>
          <w:b/>
          <w:bCs/>
        </w:rPr>
        <w:t xml:space="preserve">Who runs it: </w:t>
      </w:r>
      <w:r>
        <w:t xml:space="preserve">Who is the manager paid by the new entity, and what is their mandate?</w:t>
      </w:r>
    </w:p>
    <w:p>
      <w:pPr>
        <w:pStyle w:val="ListParagraph"/>
        <w:numPr>
          <w:ilvl w:val="0"/>
          <w:numId w:val="2"/>
        </w:numPr>
        <w:spacing w:after="80" w:line="276"/>
      </w:pPr>
      <w:r>
        <w:rPr>
          <w:b/>
          <w:bCs/>
        </w:rPr>
        <w:t xml:space="preserve">Delivery &amp; ops: </w:t>
      </w:r>
      <w:r>
        <w:t xml:space="preserve">Transport partners, titling across states, and the customer experience from inquiry to driveway.</w:t>
      </w:r>
    </w:p>
    <w:p>
      <w:pPr>
        <w:pStyle w:val="ListParagraph"/>
        <w:numPr>
          <w:ilvl w:val="0"/>
          <w:numId w:val="2"/>
        </w:numPr>
        <w:spacing w:after="80" w:line="276"/>
      </w:pPr>
      <w:r>
        <w:rPr>
          <w:b/>
          <w:bCs/>
        </w:rPr>
        <w:t xml:space="preserve">Consumer compliance: </w:t>
      </w:r>
      <w:r>
        <w:t xml:space="preserve">Positioning and disclosures that satisfy the FTC CARS Rule, state UDAP laws, and auto-broker licensing where applicable.</w:t>
      </w:r>
    </w:p>
    <w:p>
      <w:pPr>
        <w:pBdr>
          <w:top w:val="single" w:color="BFBFBF" w:sz="4" w:space="6"/>
        </w:pBdr>
        <w:spacing w:before="240"/>
      </w:pPr>
      <w:r>
        <w:rPr>
          <w:i/>
          <w:iCs/>
          <w:color w:val="595959"/>
          <w:sz w:val="18"/>
          <w:szCs w:val="18"/>
        </w:rPr>
        <w:t xml:space="preserve">Internal discussion draft. Not legal advice. Figures are directional Semrush U.S. estimates,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Independent Car-Buying Program · Strategy Brief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F3" w:sz="4" w:space="4"/>
      </w:pBd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2026-06-04T16:18:27.743Z</dcterms:created>
  <dcterms:modified xsi:type="dcterms:W3CDTF">2026-06-04T16:18:27.743Z</dcterms:modified>
</cp:coreProperties>
</file>

<file path=docProps/custom.xml><?xml version="1.0" encoding="utf-8"?>
<Properties xmlns="http://schemas.openxmlformats.org/officeDocument/2006/custom-properties" xmlns:vt="http://schemas.openxmlformats.org/officeDocument/2006/docPropsVTypes"/>
</file>