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253869A1" w:rsidR="0091782B" w:rsidRPr="009B1C3E" w:rsidRDefault="007C1B86"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2319F66">
            <wp:simplePos x="0" y="0"/>
            <wp:positionH relativeFrom="margin">
              <wp:align>right</wp:align>
            </wp:positionH>
            <wp:positionV relativeFrom="paragraph">
              <wp:posOffset>266700</wp:posOffset>
            </wp:positionV>
            <wp:extent cx="3740785" cy="2934335"/>
            <wp:effectExtent l="0" t="0" r="0" b="0"/>
            <wp:wrapTight wrapText="bothSides">
              <wp:wrapPolygon edited="0">
                <wp:start x="0" y="0"/>
                <wp:lineTo x="0" y="21455"/>
                <wp:lineTo x="21450" y="21455"/>
                <wp:lineTo x="21450"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0785" cy="2934335"/>
                    </a:xfrm>
                    <a:prstGeom prst="rect">
                      <a:avLst/>
                    </a:prstGeom>
                  </pic:spPr>
                </pic:pic>
              </a:graphicData>
            </a:graphic>
            <wp14:sizeRelH relativeFrom="page">
              <wp14:pctWidth>0</wp14:pctWidth>
            </wp14:sizeRelH>
            <wp14:sizeRelV relativeFrom="page">
              <wp14:pctHeight>0</wp14:pctHeight>
            </wp14:sizeRelV>
          </wp:anchor>
        </w:drawing>
      </w:r>
      <w:r w:rsidR="0091782B" w:rsidRPr="009B1C3E">
        <w:rPr>
          <w:rFonts w:cstheme="minorHAnsi"/>
          <w:color w:val="222222"/>
          <w:sz w:val="20"/>
          <w:szCs w:val="20"/>
        </w:rPr>
        <w:t xml:space="preserve">Upon this regularisation </w:t>
      </w:r>
      <w:r w:rsidRPr="009B1C3E">
        <w:rPr>
          <w:rFonts w:cstheme="minorHAnsi"/>
          <w:color w:val="222222"/>
          <w:sz w:val="20"/>
          <w:szCs w:val="20"/>
        </w:rPr>
        <w:t>you</w:t>
      </w:r>
      <w:r w:rsidR="0091782B"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91782B" w:rsidRPr="009B1C3E">
        <w:rPr>
          <w:rFonts w:cstheme="minorHAnsi"/>
          <w:color w:val="222222"/>
          <w:sz w:val="20"/>
          <w:szCs w:val="20"/>
        </w:rPr>
        <w:t>.</w:t>
      </w:r>
    </w:p>
    <w:p w14:paraId="2CA7A5B5" w14:textId="59DC2F29" w:rsidR="007D5B3E" w:rsidRPr="009B1C3E" w:rsidRDefault="000E4E9F" w:rsidP="009F7EE8">
      <w:pPr>
        <w:rPr>
          <w:rFonts w:cstheme="minorHAnsi"/>
          <w:color w:val="222222"/>
          <w:sz w:val="20"/>
          <w:szCs w:val="20"/>
        </w:rPr>
      </w:pPr>
      <w:r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Pr="009B1C3E">
        <w:rPr>
          <w:rFonts w:cstheme="minorHAnsi"/>
          <w:color w:val="222222"/>
          <w:sz w:val="20"/>
          <w:szCs w:val="20"/>
        </w:rPr>
        <w:t>accuracy lies below 60%.</w:t>
      </w:r>
      <w:r w:rsidR="007D5B3E" w:rsidRPr="009B1C3E">
        <w:rPr>
          <w:rFonts w:cstheme="minorHAnsi"/>
          <w:color w:val="222222"/>
          <w:sz w:val="20"/>
          <w:szCs w:val="20"/>
        </w:rPr>
        <w:t xml:space="preserve"> </w:t>
      </w:r>
    </w:p>
    <w:p w14:paraId="428ECD59" w14:textId="71B3BC14"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p>
    <w:p w14:paraId="3E193E04" w14:textId="07D9D858"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p>
    <w:p w14:paraId="42C4DA54" w14:textId="7A41177D" w:rsidR="006C3A55" w:rsidRPr="00EF5D68" w:rsidRDefault="0058056C" w:rsidP="0006631F">
      <w:pPr>
        <w:rPr>
          <w:rFonts w:ascii="Cambria Math" w:hAnsi="Cambria Math"/>
          <w:color w:val="222222"/>
          <w:sz w:val="20"/>
          <w:szCs w:val="20"/>
        </w:rPr>
      </w:pPr>
      <w:r>
        <w:rPr>
          <w:rFonts w:eastAsiaTheme="minorEastAsia"/>
          <w:b/>
          <w:bCs/>
          <w:sz w:val="20"/>
          <w:szCs w:val="20"/>
          <w:lang w:val="en-US"/>
        </w:rPr>
        <w:t>**Lastly explain the significance of this value of epsilon</w:t>
      </w:r>
      <w:r w:rsidR="00BE54D3">
        <w:rPr>
          <w:rFonts w:eastAsiaTheme="minorEastAsia"/>
          <w:b/>
          <w:bCs/>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12BFA281" w14:textId="77777777" w:rsidR="006F38DD" w:rsidRDefault="003175D4" w:rsidP="009F7EE8">
      <w:pPr>
        <w:rPr>
          <w:b/>
          <w:bCs/>
          <w:sz w:val="28"/>
          <w:szCs w:val="28"/>
          <w:lang w:val="en-US"/>
        </w:rPr>
      </w:pPr>
      <w:r>
        <w:rPr>
          <w:b/>
          <w:bCs/>
          <w:lang w:val="en-US"/>
        </w:rPr>
        <w:br/>
      </w:r>
    </w:p>
    <w:p w14:paraId="19895FF7" w14:textId="7203B18F" w:rsidR="009F7EE8" w:rsidRPr="006F38DD" w:rsidRDefault="009F7EE8" w:rsidP="009F7EE8">
      <w:pPr>
        <w:rPr>
          <w:b/>
          <w:bCs/>
          <w:sz w:val="28"/>
          <w:szCs w:val="28"/>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e</w:t>
      </w:r>
      <w:r w:rsidR="00D564B7">
        <w:rPr>
          <w:sz w:val="20"/>
          <w:szCs w:val="20"/>
          <w:vertAlign w:val="superscript"/>
          <w:lang w:val="en-US"/>
        </w:rPr>
        <w:t>a</w:t>
      </w:r>
      <w:r w:rsidR="00D564B7">
        <w:rPr>
          <w:sz w:val="20"/>
          <w:szCs w:val="20"/>
          <w:lang w:val="en-US"/>
        </w:rPr>
        <w:t xml:space="preserve"> -&gt; </w:t>
      </w:r>
      <w:r w:rsidR="006259A1">
        <w:rPr>
          <w:sz w:val="20"/>
          <w:szCs w:val="20"/>
          <w:lang w:val="en-US"/>
        </w:rPr>
        <w:t>INF   and thereby z = 1/INF = 0</w:t>
      </w:r>
    </w:p>
    <w:p w14:paraId="1CB526C0" w14:textId="5FEFD536" w:rsidR="00FD230D" w:rsidRDefault="00C37F12" w:rsidP="003C02FB">
      <w:pPr>
        <w:rPr>
          <w:sz w:val="20"/>
          <w:szCs w:val="20"/>
          <w:lang w:val="en-US"/>
        </w:rPr>
      </w:pPr>
      <w:r>
        <w:rPr>
          <w:sz w:val="20"/>
          <w:szCs w:val="20"/>
          <w:lang w:val="en-US"/>
        </w:rPr>
        <w:t>these in effect produces an output of 1 if a &gt; 0  and an output of 0 if a &lt;= 0.</w:t>
      </w:r>
    </w:p>
    <w:p w14:paraId="0ED36664" w14:textId="5AFA0015" w:rsidR="00A47AFF" w:rsidRPr="00C37F12" w:rsidRDefault="00A47AFF" w:rsidP="003C02FB">
      <w:pPr>
        <w:rPr>
          <w:sz w:val="20"/>
          <w:szCs w:val="20"/>
          <w:vertAlign w:val="superscript"/>
          <w:lang w:val="en-US"/>
        </w:rPr>
      </w:pPr>
      <w:r>
        <w:rPr>
          <w:sz w:val="20"/>
          <w:szCs w:val="20"/>
          <w:lang w:val="en-US"/>
        </w:rPr>
        <w:t>Threshold??</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175D4"/>
    <w:rsid w:val="00330F82"/>
    <w:rsid w:val="00334BEF"/>
    <w:rsid w:val="003436BE"/>
    <w:rsid w:val="00345C45"/>
    <w:rsid w:val="00352BF4"/>
    <w:rsid w:val="00367F67"/>
    <w:rsid w:val="003717BE"/>
    <w:rsid w:val="00371BF2"/>
    <w:rsid w:val="00385B00"/>
    <w:rsid w:val="00395527"/>
    <w:rsid w:val="003A5222"/>
    <w:rsid w:val="003B1612"/>
    <w:rsid w:val="003C02FB"/>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A0EEC"/>
    <w:rsid w:val="006A39D1"/>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95D55"/>
    <w:rsid w:val="00797D8A"/>
    <w:rsid w:val="007A6516"/>
    <w:rsid w:val="007B080F"/>
    <w:rsid w:val="007C1B86"/>
    <w:rsid w:val="007D5B3E"/>
    <w:rsid w:val="007F1070"/>
    <w:rsid w:val="007F3ED0"/>
    <w:rsid w:val="00823CF2"/>
    <w:rsid w:val="00824DF4"/>
    <w:rsid w:val="008373FD"/>
    <w:rsid w:val="00841513"/>
    <w:rsid w:val="008420E8"/>
    <w:rsid w:val="0086171A"/>
    <w:rsid w:val="008A6695"/>
    <w:rsid w:val="008E0DBF"/>
    <w:rsid w:val="008E133A"/>
    <w:rsid w:val="008E3F7E"/>
    <w:rsid w:val="008F6F1F"/>
    <w:rsid w:val="00901DB5"/>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1384C"/>
    <w:rsid w:val="00F210EC"/>
    <w:rsid w:val="00F329DF"/>
    <w:rsid w:val="00F478FB"/>
    <w:rsid w:val="00F50742"/>
    <w:rsid w:val="00F50D8D"/>
    <w:rsid w:val="00F61290"/>
    <w:rsid w:val="00F66CB4"/>
    <w:rsid w:val="00F71E34"/>
    <w:rsid w:val="00F80F22"/>
    <w:rsid w:val="00FA1D3F"/>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BE1D-176A-4800-A188-E7F5D554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184</cp:revision>
  <dcterms:created xsi:type="dcterms:W3CDTF">2020-04-10T16:59:00Z</dcterms:created>
  <dcterms:modified xsi:type="dcterms:W3CDTF">2020-04-13T22:00:00Z</dcterms:modified>
</cp:coreProperties>
</file>