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2"/>
        </w:rPr>
        <w:t>P0 — 입력 치환 Audit 실험 설계서</w:t>
      </w:r>
    </w:p>
    <w:p>
      <w:pPr>
        <w:spacing w:after="80"/>
      </w:pPr>
      <w:r>
        <w:rPr>
          <w:color w:val="6B7280"/>
          <w:sz w:val="18"/>
        </w:rPr>
        <w:t>Input-Substitution Audit · v1 · 2026-06-10 · 목표 기간 4주 · 담당: 김휘영</w:t>
      </w:r>
    </w:p>
    <w:p>
      <w:pPr>
        <w:pBdr>
          <w:bottom w:val="single" w:sz="8" w:color="2E75B6" w:space="1"/>
        </w:pBdr>
        <w:spacing w:after="200"/>
      </w:pPr>
    </w:p>
    <w:p>
      <w:pPr>
        <w:pStyle w:val="Heading1"/>
      </w:pPr>
      <w:r>
        <w:t>1. 목적과 논문 내 위치</w:t>
      </w:r>
    </w:p>
    <w:p>
      <w:r>
        <w:t>이 실험은 “LiDAR 점군을 전제로 설계된 기존 건물 모델 구성 파이프라인에 영상 유래 점군을 투입하면, 최종 의미론적 건물 모델이 어디서 어떻게 저하되는가”를 동일 장면·동일 외곽선·동일 파이프라인·입력만 교체 조건으로 정량화한다. 서론에서 사고실험으로 제기했던 한계 주장을 실측 근거로 교체하는 것이 일차 목적이다.</w:t>
      </w:r>
    </w:p>
    <w:p>
      <w:r>
        <w:t>산출물은 그대로 논문에 들어간다.</w:t>
      </w:r>
    </w:p>
    <w:p>
      <w:pPr>
        <w:pStyle w:val="ListBullet"/>
        <w:spacing w:after="40"/>
      </w:pPr>
      <w:r>
        <w:t>Ch1 그림 1.1 — 동일 건물에 대한 LiDAR 입력 vs DIM 입력 결과 대비 (서론의 실측 근거)</w:t>
      </w:r>
    </w:p>
    <w:p>
      <w:pPr>
        <w:pStyle w:val="ListBullet"/>
        <w:spacing w:after="40"/>
      </w:pPr>
      <w:r>
        <w:t>Ch4 E1 본체 — 입력 치환 audit과 실패 유형 분류(failure taxonomy)</w:t>
      </w:r>
    </w:p>
    <w:p>
      <w:pPr>
        <w:pStyle w:val="ListBullet"/>
        <w:spacing w:after="40"/>
      </w:pPr>
      <w:r>
        <w:t>Seq-G(영상→DIM→기존)·Ref-L(LiDAR→기존, 상한 참조) 기준선 인프라 — E5 correction gain의 분모</w:t>
      </w:r>
    </w:p>
    <w:p>
      <w:pPr>
        <w:pStyle w:val="ListBullet"/>
        <w:spacing w:after="40"/>
      </w:pPr>
      <w:r>
        <w:t>지도교수 보고용 미니 리포트 (2–3쪽)</w:t>
      </w:r>
    </w:p>
    <w:p>
      <w:r>
        <w:t>동시에 이 실험은 연구 동기의 반증 가능 장치이다. DIM 입력에서 기존 파이프라인이 충분히 잘 동작한다면 서론의 동기를 수정해야 하며(8절), 그 판단은 방법론을 더 정교화하기 전에 내려야 한다. 또한 판정은 이중으로 해석된다. Ref-L(LiDAR 입력)이 양호하면 순차 구성 자체는 결함이 아님이 확인되고, 같은 조건에서 Seq-G(DIM 입력)만 저하되면 한계가 입력과 방법 구조의 상호작용, 즉 이전성에 있음이 입증된다. E1은 “순차 방식 비판”이 아니라 “조건부 한계의 양쪽 검증”이다.</w:t>
      </w:r>
    </w:p>
    <w:p>
      <w:pPr>
        <w:pStyle w:val="Heading1"/>
      </w:pPr>
      <w:r>
        <w:t>2. 가설</w:t>
      </w:r>
    </w:p>
    <w:p>
      <w:r>
        <w:t>H1 (주 가설). 동일 조건에서 DIM 점군 입력은 LiDAR 점군 입력 대비 지붕면 분할(Plane F1), 경계 정확도, 모델 유효성이 저하된다.</w:t>
      </w:r>
    </w:p>
    <w:p>
      <w:r>
        <w:t>H2 (구조 가설). 저하는 무작위가 아니라 유형화된다 — 평면 병합/과분할, 경계 드리프트, 능선 라운딩, 소면 누락, invalid geometry — 그리고 각 유형은 입력 점군의 국소 품질(노이즈, 결손, 벽면 점 부족)로 소급하여 설명된다.</w:t>
      </w:r>
    </w:p>
    <w:p>
      <w:r>
        <w:t>H0 (기각 시나리오). 두 입력의 차이가 실질적으로 미미하다. 이 경우 8절의 프레임 전환을 적용한다.</w:t>
      </w:r>
    </w:p>
    <w:p>
      <w:pPr>
        <w:pStyle w:val="Heading1"/>
      </w:pPr>
      <w:r>
        <w:t>3. 데이터</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701"/>
            <w:shd w:val="clear" w:fill="D9E8F2"/>
          </w:tcPr>
          <w:p>
            <w:r>
              <w:rPr>
                <w:b/>
                <w:sz w:val="18"/>
              </w:rPr>
              <w:t>데이터셋</w:t>
            </w:r>
          </w:p>
        </w:tc>
        <w:tc>
          <w:tcPr>
            <w:tcW w:type="dxa" w:w="3061"/>
            <w:shd w:val="clear" w:fill="D9E8F2"/>
          </w:tcPr>
          <w:p>
            <w:r>
              <w:rPr>
                <w:b/>
                <w:sz w:val="18"/>
              </w:rPr>
              <w:t>사용 제공물</w:t>
            </w:r>
          </w:p>
        </w:tc>
        <w:tc>
          <w:tcPr>
            <w:tcW w:type="dxa" w:w="2041"/>
            <w:shd w:val="clear" w:fill="D9E8F2"/>
          </w:tcPr>
          <w:p>
            <w:r>
              <w:rPr>
                <w:b/>
                <w:sz w:val="18"/>
              </w:rPr>
              <w:t>역할</w:t>
            </w:r>
          </w:p>
        </w:tc>
        <w:tc>
          <w:tcPr>
            <w:tcW w:type="dxa" w:w="2268"/>
            <w:shd w:val="clear" w:fill="D9E8F2"/>
          </w:tcPr>
          <w:p>
            <w:r>
              <w:rPr>
                <w:b/>
                <w:sz w:val="18"/>
              </w:rPr>
              <w:t>선행 확인 사항</w:t>
            </w:r>
          </w:p>
        </w:tc>
      </w:tr>
      <w:tr>
        <w:tc>
          <w:tcPr>
            <w:tcW w:type="dxa" w:w="1701"/>
          </w:tcPr>
          <w:p>
            <w:r>
              <w:rPr>
                <w:sz w:val="18"/>
              </w:rPr>
              <w:t>TUM2TWIN (주)</w:t>
            </w:r>
          </w:p>
        </w:tc>
        <w:tc>
          <w:tcPr>
            <w:tcW w:type="dxa" w:w="3061"/>
          </w:tcPr>
          <w:p>
            <w:r>
              <w:rPr>
                <w:sz w:val="18"/>
              </w:rPr>
              <w:t>항공·UAV 영상(표정요소 포함), ALS/MLS 점군, LoD2 CityGML</w:t>
            </w:r>
          </w:p>
        </w:tc>
        <w:tc>
          <w:tcPr>
            <w:tcW w:type="dxa" w:w="2041"/>
          </w:tcPr>
          <w:p>
            <w:r>
              <w:rPr>
                <w:sz w:val="18"/>
              </w:rPr>
              <w:t>audit 주 무대: reference 모델과 양 모달리티를 동일 장면에서 제공</w:t>
            </w:r>
          </w:p>
        </w:tc>
        <w:tc>
          <w:tcPr>
            <w:tcW w:type="dxa" w:w="2268"/>
          </w:tcPr>
          <w:p>
            <w:r>
              <w:rPr>
                <w:sz w:val="18"/>
              </w:rPr>
              <w:t>영상 표정 데이터 포맷·좌표계, 라이선스, 용량</w:t>
            </w:r>
          </w:p>
        </w:tc>
      </w:tr>
      <w:tr>
        <w:tc>
          <w:tcPr>
            <w:tcW w:type="dxa" w:w="1701"/>
          </w:tcPr>
          <w:p>
            <w:r>
              <w:rPr>
                <w:sz w:val="18"/>
              </w:rPr>
              <w:t>ISPRS Vaihingen (부)</w:t>
            </w:r>
          </w:p>
        </w:tc>
        <w:tc>
          <w:tcPr>
            <w:tcW w:type="dxa" w:w="3061"/>
          </w:tcPr>
          <w:p>
            <w:r>
              <w:rPr>
                <w:sz w:val="18"/>
              </w:rPr>
              <w:t>DMC 항공영상, ALS, roof plane reference</w:t>
            </w:r>
          </w:p>
        </w:tc>
        <w:tc>
          <w:tcPr>
            <w:tcW w:type="dxa" w:w="2041"/>
          </w:tcPr>
          <w:p>
            <w:r>
              <w:rPr>
                <w:sz w:val="18"/>
              </w:rPr>
              <w:t>고전 벤치마크 조건에서의 재현·교차 확인</w:t>
            </w:r>
          </w:p>
        </w:tc>
        <w:tc>
          <w:tcPr>
            <w:tcW w:type="dxa" w:w="2268"/>
          </w:tcPr>
          <w:p>
            <w:r>
              <w:rPr>
                <w:sz w:val="18"/>
              </w:rPr>
              <w:t>영상 중복도(60/30%) 하 DIM 품질, reference 포맷</w:t>
            </w:r>
          </w:p>
        </w:tc>
      </w:tr>
      <w:tr>
        <w:tc>
          <w:tcPr>
            <w:tcW w:type="dxa" w:w="1701"/>
          </w:tcPr>
          <w:p>
            <w:r>
              <w:rPr>
                <w:sz w:val="18"/>
              </w:rPr>
              <w:t>NRW / Bayern 오픈데이터 (예비)</w:t>
            </w:r>
          </w:p>
        </w:tc>
        <w:tc>
          <w:tcPr>
            <w:tcW w:type="dxa" w:w="3061"/>
          </w:tcPr>
          <w:p>
            <w:r>
              <w:rPr>
                <w:sz w:val="18"/>
              </w:rPr>
              <w:t>LoD2 CityGML, ALS, 항공영상</w:t>
            </w:r>
          </w:p>
        </w:tc>
        <w:tc>
          <w:tcPr>
            <w:tcW w:type="dxa" w:w="2041"/>
          </w:tcPr>
          <w:p>
            <w:r>
              <w:rPr>
                <w:sz w:val="18"/>
              </w:rPr>
              <w:t>광역 일반화 확인 (P0 범위 외)</w:t>
            </w:r>
          </w:p>
        </w:tc>
        <w:tc>
          <w:tcPr>
            <w:tcW w:type="dxa" w:w="2268"/>
          </w:tcPr>
          <w:p>
            <w:r>
              <w:rPr>
                <w:sz w:val="18"/>
              </w:rPr>
              <w:t>원영상·표정요소 공개 범위</w:t>
            </w:r>
          </w:p>
        </w:tc>
      </w:tr>
    </w:tbl>
    <w:p>
      <w:pPr>
        <w:spacing w:after="40"/>
      </w:pPr>
    </w:p>
    <w:p>
      <w:r>
        <w:t>장면 선정 기준: 블록 1–2개, 지붕 유형 다양성(박공·모임·평지붕·복합), 수목 가림 포함/미포함 각 1, 건물 20–50동 규모. 건물 외곽선(footprint)은 reference 모델의 ground plan 또는 지적 자료를 사용하되 두 입력에 동일하게 고정한다 — footprint 효과와 입력 효과를 분리하기 위함이다.</w:t>
      </w:r>
    </w:p>
    <w:p>
      <w:pPr>
        <w:pStyle w:val="Heading1"/>
      </w:pPr>
      <w:r>
        <w:t>4. 파이프라인과 실험 매트릭스</w:t>
      </w:r>
    </w:p>
    <w:p>
      <w:r>
        <w:t>입력은 두 갈래이다. Ref-L(상한 참조)은 제공 ALS 점군을 전처리(지면·건물 분류 확인)하여 구성 파이프라인에 투입한다. Seq-G(baseline, audit 대상)는 제공 영상과 표정요소에서 표정을 고정한 채 MVS 조밀화를 수행하여 DIM 점군을 만들고, 동일 전처리·동일 파이프라인에 투입한다. 도구는 COLMAP(표정 고정) + OpenMVS를 기본으로 하고, 상용 비교로 Metashape 1회를 둔다. 품질 세팅과 버전은 모두 기록한다.</w:t>
      </w:r>
    </w:p>
    <w:p>
      <w:r>
        <w:t>구성 파이프라인은 Roofer(LoD2.2, CityJSON 출력)와 City3D 2종이다. 파라미터는 (i) 기본값 고정 런과 (ii) 입력별 1회 튜닝 런의 두 세팅을 둔다. 입력별 튜닝을 허용하는 이유는 “DIM에 파라미터만 맞추면 되는 것 아니냐”는 반론을 선제적으로 차단하기 위함이다. 또한 Seq-G 경로 자체가 허수아비가 아니라는 점은 운영(바이에른의 DIM 병용 갱신)과 연구(DIM 점군 기반 LoD2 라인의 존재와 자체 보고)가 뒷받침한다.</w:t>
      </w:r>
    </w:p>
    <w:p>
      <w:r>
        <w:t>좌표 정합은 제공 표정요소·GCP 기반 georeferencing을 우선하고, 잔차가 클 때만 ICP 미세 정합을 추가한다. 정합 잔차는 항상 보고하며, 잔차가 평가 임계(예: 경계 오차 임계)의 1/3을 넘는 장면은 비교에서 제외한다 — 정합 오차가 결론을 오염시키지 않도록 하기 위한 규칙이다.</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61"/>
            <w:shd w:val="clear" w:fill="D9E8F2"/>
          </w:tcPr>
          <w:p>
            <w:r>
              <w:rPr>
                <w:b/>
                <w:sz w:val="18"/>
              </w:rPr>
              <w:t>차원</w:t>
            </w:r>
          </w:p>
        </w:tc>
        <w:tc>
          <w:tcPr>
            <w:tcW w:type="dxa" w:w="3402"/>
            <w:shd w:val="clear" w:fill="D9E8F2"/>
          </w:tcPr>
          <w:p>
            <w:r>
              <w:rPr>
                <w:b/>
                <w:sz w:val="18"/>
              </w:rPr>
              <w:t>수준</w:t>
            </w:r>
          </w:p>
        </w:tc>
        <w:tc>
          <w:tcPr>
            <w:tcW w:type="dxa" w:w="4309"/>
            <w:shd w:val="clear" w:fill="D9E8F2"/>
          </w:tcPr>
          <w:p>
            <w:r>
              <w:rPr>
                <w:b/>
                <w:sz w:val="18"/>
              </w:rPr>
              <w:t>비고</w:t>
            </w:r>
          </w:p>
        </w:tc>
      </w:tr>
      <w:tr>
        <w:tc>
          <w:tcPr>
            <w:tcW w:type="dxa" w:w="1361"/>
          </w:tcPr>
          <w:p>
            <w:r>
              <w:rPr>
                <w:sz w:val="18"/>
              </w:rPr>
              <w:t>장면</w:t>
            </w:r>
          </w:p>
        </w:tc>
        <w:tc>
          <w:tcPr>
            <w:tcW w:type="dxa" w:w="3402"/>
          </w:tcPr>
          <w:p>
            <w:r>
              <w:rPr>
                <w:sz w:val="18"/>
              </w:rPr>
              <w:t>TUM2TWIN 1–2개 (+ Vaihingen 1개)</w:t>
            </w:r>
          </w:p>
        </w:tc>
        <w:tc>
          <w:tcPr>
            <w:tcW w:type="dxa" w:w="4309"/>
          </w:tcPr>
          <w:p>
            <w:r>
              <w:rPr>
                <w:sz w:val="18"/>
              </w:rPr>
              <w:t>지붕 다양성 기준으로 선정</w:t>
            </w:r>
          </w:p>
        </w:tc>
      </w:tr>
      <w:tr>
        <w:tc>
          <w:tcPr>
            <w:tcW w:type="dxa" w:w="1361"/>
          </w:tcPr>
          <w:p>
            <w:r>
              <w:rPr>
                <w:sz w:val="18"/>
              </w:rPr>
              <w:t>입력</w:t>
            </w:r>
          </w:p>
        </w:tc>
        <w:tc>
          <w:tcPr>
            <w:tcW w:type="dxa" w:w="3402"/>
          </w:tcPr>
          <w:p>
            <w:r>
              <w:rPr>
                <w:sz w:val="18"/>
              </w:rPr>
              <w:t>ALS (Ref-L) / DIM (Seq-G)</w:t>
            </w:r>
          </w:p>
        </w:tc>
        <w:tc>
          <w:tcPr>
            <w:tcW w:type="dxa" w:w="4309"/>
          </w:tcPr>
          <w:p>
            <w:r>
              <w:rPr>
                <w:sz w:val="18"/>
              </w:rPr>
              <w:t>동일 footprint 고정</w:t>
            </w:r>
          </w:p>
        </w:tc>
      </w:tr>
      <w:tr>
        <w:tc>
          <w:tcPr>
            <w:tcW w:type="dxa" w:w="1361"/>
          </w:tcPr>
          <w:p>
            <w:r>
              <w:rPr>
                <w:sz w:val="18"/>
              </w:rPr>
              <w:t>파이프라인</w:t>
            </w:r>
          </w:p>
        </w:tc>
        <w:tc>
          <w:tcPr>
            <w:tcW w:type="dxa" w:w="3402"/>
          </w:tcPr>
          <w:p>
            <w:r>
              <w:rPr>
                <w:sz w:val="18"/>
              </w:rPr>
              <w:t>Roofer / City3D</w:t>
            </w:r>
          </w:p>
        </w:tc>
        <w:tc>
          <w:tcPr>
            <w:tcW w:type="dxa" w:w="4309"/>
          </w:tcPr>
          <w:p>
            <w:r>
              <w:rPr>
                <w:sz w:val="18"/>
              </w:rPr>
              <w:t>버전 고정, 설정 파일 기록</w:t>
            </w:r>
          </w:p>
        </w:tc>
      </w:tr>
      <w:tr>
        <w:tc>
          <w:tcPr>
            <w:tcW w:type="dxa" w:w="1361"/>
          </w:tcPr>
          <w:p>
            <w:r>
              <w:rPr>
                <w:sz w:val="18"/>
              </w:rPr>
              <w:t>파라미터</w:t>
            </w:r>
          </w:p>
        </w:tc>
        <w:tc>
          <w:tcPr>
            <w:tcW w:type="dxa" w:w="3402"/>
          </w:tcPr>
          <w:p>
            <w:r>
              <w:rPr>
                <w:sz w:val="18"/>
              </w:rPr>
              <w:t>기본값 / 입력별 튜닝</w:t>
            </w:r>
          </w:p>
        </w:tc>
        <w:tc>
          <w:tcPr>
            <w:tcW w:type="dxa" w:w="4309"/>
          </w:tcPr>
          <w:p>
            <w:r>
              <w:rPr>
                <w:sz w:val="18"/>
              </w:rPr>
              <w:t>튜닝 과정·근거 기록</w:t>
            </w:r>
          </w:p>
        </w:tc>
      </w:tr>
    </w:tbl>
    <w:p>
      <w:pPr>
        <w:spacing w:after="40"/>
      </w:pPr>
    </w:p>
    <w:p>
      <w:r>
        <w:t>총 8–16런 + reference 평가. 모든 런은 동일한 CityJSON 출력 형식으로 수렴시킨다.</w:t>
      </w:r>
    </w:p>
    <w:p>
      <w:pPr>
        <w:pStyle w:val="Heading1"/>
      </w:pPr>
      <w:r>
        <w:t>5. 지표</w:t>
      </w:r>
    </w:p>
    <w:p>
      <w:r>
        <w:t>Chapter 4의 지표 체계를 그대로 재사용한다(새 지표를 만들지 않는다). reference는 TUM2TWIN LoD2의 RoofSurface·경계와 ISPRS roof plane reference이다.</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268"/>
            <w:shd w:val="clear" w:fill="D9E8F2"/>
          </w:tcPr>
          <w:p>
            <w:r>
              <w:rPr>
                <w:b/>
                <w:sz w:val="18"/>
              </w:rPr>
              <w:t>지표</w:t>
            </w:r>
          </w:p>
        </w:tc>
        <w:tc>
          <w:tcPr>
            <w:tcW w:type="dxa" w:w="3969"/>
            <w:shd w:val="clear" w:fill="D9E8F2"/>
          </w:tcPr>
          <w:p>
            <w:r>
              <w:rPr>
                <w:b/>
                <w:sz w:val="18"/>
              </w:rPr>
              <w:t>정의·도구</w:t>
            </w:r>
          </w:p>
        </w:tc>
        <w:tc>
          <w:tcPr>
            <w:tcW w:type="dxa" w:w="2835"/>
            <w:shd w:val="clear" w:fill="D9E8F2"/>
          </w:tcPr>
          <w:p>
            <w:r>
              <w:rPr>
                <w:b/>
                <w:sz w:val="18"/>
              </w:rPr>
              <w:t>무엇을 보는가</w:t>
            </w:r>
          </w:p>
        </w:tc>
      </w:tr>
      <w:tr>
        <w:tc>
          <w:tcPr>
            <w:tcW w:type="dxa" w:w="2268"/>
          </w:tcPr>
          <w:p>
            <w:r>
              <w:rPr>
                <w:sz w:val="18"/>
              </w:rPr>
              <w:t>Plane instance F1 / normal error</w:t>
            </w:r>
          </w:p>
        </w:tc>
        <w:tc>
          <w:tcPr>
            <w:tcW w:type="dxa" w:w="3969"/>
          </w:tcPr>
          <w:p>
            <w:r>
              <w:rPr>
                <w:sz w:val="18"/>
              </w:rPr>
              <w:t>예측–참조 평면 매칭 기반, 자체 스크립트</w:t>
            </w:r>
          </w:p>
        </w:tc>
        <w:tc>
          <w:tcPr>
            <w:tcW w:type="dxa" w:w="2835"/>
          </w:tcPr>
          <w:p>
            <w:r>
              <w:rPr>
                <w:sz w:val="18"/>
              </w:rPr>
              <w:t>지붕면 과병합·과분할 (H2의 핵심)</w:t>
            </w:r>
          </w:p>
        </w:tc>
      </w:tr>
      <w:tr>
        <w:tc>
          <w:tcPr>
            <w:tcW w:type="dxa" w:w="2268"/>
          </w:tcPr>
          <w:p>
            <w:r>
              <w:rPr>
                <w:sz w:val="18"/>
              </w:rPr>
              <w:t>Boundary Chamfer / Hausdorff</w:t>
            </w:r>
          </w:p>
        </w:tc>
        <w:tc>
          <w:tcPr>
            <w:tcW w:type="dxa" w:w="3969"/>
          </w:tcPr>
          <w:p>
            <w:r>
              <w:rPr>
                <w:sz w:val="18"/>
              </w:rPr>
              <w:t>roof outline·ridge 경계점 집합 간 거리</w:t>
            </w:r>
          </w:p>
        </w:tc>
        <w:tc>
          <w:tcPr>
            <w:tcW w:type="dxa" w:w="2835"/>
          </w:tcPr>
          <w:p>
            <w:r>
              <w:rPr>
                <w:sz w:val="18"/>
              </w:rPr>
              <w:t>경계 드리프트, 능선 라운딩</w:t>
            </w:r>
          </w:p>
        </w:tc>
      </w:tr>
      <w:tr>
        <w:tc>
          <w:tcPr>
            <w:tcW w:type="dxa" w:w="2268"/>
          </w:tcPr>
          <w:p>
            <w:r>
              <w:rPr>
                <w:sz w:val="18"/>
              </w:rPr>
              <w:t>Point-to-surface / height error</w:t>
            </w:r>
          </w:p>
        </w:tc>
        <w:tc>
          <w:tcPr>
            <w:tcW w:type="dxa" w:w="3969"/>
          </w:tcPr>
          <w:p>
            <w:r>
              <w:rPr>
                <w:sz w:val="18"/>
              </w:rPr>
              <w:t>참조점–예측면 거리, 높이 오차</w:t>
            </w:r>
          </w:p>
        </w:tc>
        <w:tc>
          <w:tcPr>
            <w:tcW w:type="dxa" w:w="2835"/>
          </w:tcPr>
          <w:p>
            <w:r>
              <w:rPr>
                <w:sz w:val="18"/>
              </w:rPr>
              <w:t>전반적 기하 정확도</w:t>
            </w:r>
          </w:p>
        </w:tc>
      </w:tr>
      <w:tr>
        <w:tc>
          <w:tcPr>
            <w:tcW w:type="dxa" w:w="2268"/>
          </w:tcPr>
          <w:p>
            <w:r>
              <w:rPr>
                <w:sz w:val="18"/>
              </w:rPr>
              <w:t>Validity rate / 오류 유형 수</w:t>
            </w:r>
          </w:p>
        </w:tc>
        <w:tc>
          <w:tcPr>
            <w:tcW w:type="dxa" w:w="3969"/>
          </w:tcPr>
          <w:p>
            <w:r>
              <w:rPr>
                <w:sz w:val="18"/>
              </w:rPr>
              <w:t>val3dity</w:t>
            </w:r>
          </w:p>
        </w:tc>
        <w:tc>
          <w:tcPr>
            <w:tcW w:type="dxa" w:w="2835"/>
          </w:tcPr>
          <w:p>
            <w:r>
              <w:rPr>
                <w:sz w:val="18"/>
              </w:rPr>
              <w:t>CityJSON으로서의 사용 가능성</w:t>
            </w:r>
          </w:p>
        </w:tc>
      </w:tr>
      <w:tr>
        <w:tc>
          <w:tcPr>
            <w:tcW w:type="dxa" w:w="2268"/>
          </w:tcPr>
          <w:p>
            <w:r>
              <w:rPr>
                <w:sz w:val="18"/>
              </w:rPr>
              <w:t>입력 점군 진단</w:t>
            </w:r>
          </w:p>
        </w:tc>
        <w:tc>
          <w:tcPr>
            <w:tcW w:type="dxa" w:w="3969"/>
          </w:tcPr>
          <w:p>
            <w:r>
              <w:rPr>
                <w:sz w:val="18"/>
              </w:rPr>
              <w:t>밀도, 평면 적합 잔차(roughness), 경계부 노이즈 폭, 벽면 점 비율</w:t>
            </w:r>
          </w:p>
        </w:tc>
        <w:tc>
          <w:tcPr>
            <w:tcW w:type="dxa" w:w="2835"/>
          </w:tcPr>
          <w:p>
            <w:r>
              <w:rPr>
                <w:sz w:val="18"/>
              </w:rPr>
              <w:t>입력 품질 → 모델 품질의 연결 고리 (H2 소급 설명)</w:t>
            </w:r>
          </w:p>
        </w:tc>
      </w:tr>
      <w:tr>
        <w:tc>
          <w:tcPr>
            <w:tcW w:type="dxa" w:w="2268"/>
          </w:tcPr>
          <w:p>
            <w:r>
              <w:rPr>
                <w:sz w:val="18"/>
              </w:rPr>
              <w:t>Failure taxonomy</w:t>
            </w:r>
          </w:p>
        </w:tc>
        <w:tc>
          <w:tcPr>
            <w:tcW w:type="dxa" w:w="3969"/>
          </w:tcPr>
          <w:p>
            <w:r>
              <w:rPr>
                <w:sz w:val="18"/>
              </w:rPr>
              <w:t>건물 단위 paired 사례 갤러리</w:t>
            </w:r>
          </w:p>
        </w:tc>
        <w:tc>
          <w:tcPr>
            <w:tcW w:type="dxa" w:w="2835"/>
          </w:tcPr>
          <w:p>
            <w:r>
              <w:rPr>
                <w:sz w:val="18"/>
              </w:rPr>
              <w:t>실패 유형 분류, Ch1 그림 1.1 소스</w:t>
            </w:r>
          </w:p>
        </w:tc>
      </w:tr>
    </w:tbl>
    <w:p>
      <w:pPr>
        <w:spacing w:after="40"/>
      </w:pPr>
    </w:p>
    <w:p>
      <w:r>
        <w:t>분석 단위는 건물 단위 paired 비교(같은 건물, 입력만 다름)를 기본으로 한다. 장면 수가 적으므로 통계 검정보다 효과 크기와 건물 단위 분포(박스플롯)를 보고한다.</w:t>
      </w:r>
    </w:p>
    <w:p>
      <w:pPr>
        <w:pStyle w:val="Heading1"/>
      </w:pPr>
      <w:r>
        <w:t>6. 판정 기준</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247"/>
            <w:shd w:val="clear" w:fill="D9E8F2"/>
          </w:tcPr>
          <w:p>
            <w:r>
              <w:rPr>
                <w:b/>
                <w:sz w:val="18"/>
              </w:rPr>
              <w:t>판정</w:t>
            </w:r>
          </w:p>
        </w:tc>
        <w:tc>
          <w:tcPr>
            <w:tcW w:type="dxa" w:w="4649"/>
            <w:shd w:val="clear" w:fill="D9E8F2"/>
          </w:tcPr>
          <w:p>
            <w:r>
              <w:rPr>
                <w:b/>
                <w:sz w:val="18"/>
              </w:rPr>
              <w:t>기준 (제안값)</w:t>
            </w:r>
          </w:p>
        </w:tc>
        <w:tc>
          <w:tcPr>
            <w:tcW w:type="dxa" w:w="3175"/>
            <w:shd w:val="clear" w:fill="D9E8F2"/>
          </w:tcPr>
          <w:p>
            <w:r>
              <w:rPr>
                <w:b/>
                <w:sz w:val="18"/>
              </w:rPr>
              <w:t>후속 조치</w:t>
            </w:r>
          </w:p>
        </w:tc>
      </w:tr>
      <w:tr>
        <w:tc>
          <w:tcPr>
            <w:tcW w:type="dxa" w:w="1247"/>
          </w:tcPr>
          <w:p>
            <w:r>
              <w:rPr>
                <w:sz w:val="18"/>
              </w:rPr>
              <w:t>H1 지지</w:t>
            </w:r>
          </w:p>
        </w:tc>
        <w:tc>
          <w:tcPr>
            <w:tcW w:type="dxa" w:w="4649"/>
          </w:tcPr>
          <w:p>
            <w:r>
              <w:rPr>
                <w:sz w:val="18"/>
              </w:rPr>
              <w:t>핵심 지표 3개 중 2개 이상에서 paired 중앙값 기준: Plane F1 0.10 이상 하락, 경계 오차 1.5배 이상, validity rate 10%p 이상 하락</w:t>
            </w:r>
          </w:p>
        </w:tc>
        <w:tc>
          <w:tcPr>
            <w:tcW w:type="dxa" w:w="3175"/>
          </w:tcPr>
          <w:p>
            <w:r>
              <w:rPr>
                <w:sz w:val="18"/>
              </w:rPr>
              <w:t>서론 개정안 확정, E1 본체로 편입, GS-JSO 코어(P2) 착수</w:t>
            </w:r>
          </w:p>
        </w:tc>
      </w:tr>
      <w:tr>
        <w:tc>
          <w:tcPr>
            <w:tcW w:type="dxa" w:w="1247"/>
          </w:tcPr>
          <w:p>
            <w:r>
              <w:rPr>
                <w:sz w:val="18"/>
              </w:rPr>
              <w:t>부분 지지</w:t>
            </w:r>
          </w:p>
        </w:tc>
        <w:tc>
          <w:tcPr>
            <w:tcW w:type="dxa" w:w="4649"/>
          </w:tcPr>
          <w:p>
            <w:r>
              <w:rPr>
                <w:sz w:val="18"/>
              </w:rPr>
              <w:t>일부 지표 또는 일부 지붕 유형에서만 저하</w:t>
            </w:r>
          </w:p>
        </w:tc>
        <w:tc>
          <w:tcPr>
            <w:tcW w:type="dxa" w:w="3175"/>
          </w:tcPr>
          <w:p>
            <w:r>
              <w:rPr>
                <w:sz w:val="18"/>
              </w:rPr>
              <w:t>저하가 확인된 축으로 동기를 축소·특정 (예: 복합 지붕, 경계 정확도 중심)</w:t>
            </w:r>
          </w:p>
        </w:tc>
      </w:tr>
      <w:tr>
        <w:tc>
          <w:tcPr>
            <w:tcW w:type="dxa" w:w="1247"/>
          </w:tcPr>
          <w:p>
            <w:r>
              <w:rPr>
                <w:sz w:val="18"/>
              </w:rPr>
              <w:t>기각 (H0)</w:t>
            </w:r>
          </w:p>
        </w:tc>
        <w:tc>
          <w:tcPr>
            <w:tcW w:type="dxa" w:w="4649"/>
          </w:tcPr>
          <w:p>
            <w:r>
              <w:rPr>
                <w:sz w:val="18"/>
              </w:rPr>
              <w:t>전 지표에서 실질적 동등</w:t>
            </w:r>
          </w:p>
        </w:tc>
        <w:tc>
          <w:tcPr>
            <w:tcW w:type="dxa" w:w="3175"/>
          </w:tcPr>
          <w:p>
            <w:r>
              <w:rPr>
                <w:sz w:val="18"/>
              </w:rPr>
              <w:t>8절 프레임 전환 — 방법론 정교화를 보류하고 동기 재설계</w:t>
            </w:r>
          </w:p>
        </w:tc>
      </w:tr>
    </w:tbl>
    <w:p>
      <w:pPr>
        <w:spacing w:after="40"/>
      </w:pPr>
    </w:p>
    <w:p>
      <w:r>
        <w:t>임계값은 제안값이며 첫 장면 결과를 보고 지도교수와 확정한다. 핵심은 임계값 자체가 아니라 판정 기준을 실험 전에 문서화해 두었다는 사실이다.</w:t>
      </w:r>
    </w:p>
    <w:p>
      <w:pPr>
        <w:pStyle w:val="Heading1"/>
      </w:pPr>
      <w:r>
        <w:t>7. 일정 (4주)</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794"/>
            <w:shd w:val="clear" w:fill="D9E8F2"/>
          </w:tcPr>
          <w:p>
            <w:r>
              <w:rPr>
                <w:b/>
                <w:sz w:val="18"/>
              </w:rPr>
              <w:t>주차</w:t>
            </w:r>
          </w:p>
        </w:tc>
        <w:tc>
          <w:tcPr>
            <w:tcW w:type="dxa" w:w="5102"/>
            <w:shd w:val="clear" w:fill="D9E8F2"/>
          </w:tcPr>
          <w:p>
            <w:r>
              <w:rPr>
                <w:b/>
                <w:sz w:val="18"/>
              </w:rPr>
              <w:t>작업</w:t>
            </w:r>
          </w:p>
        </w:tc>
        <w:tc>
          <w:tcPr>
            <w:tcW w:type="dxa" w:w="3175"/>
            <w:shd w:val="clear" w:fill="D9E8F2"/>
          </w:tcPr>
          <w:p>
            <w:r>
              <w:rPr>
                <w:b/>
                <w:sz w:val="18"/>
              </w:rPr>
              <w:t>산출물</w:t>
            </w:r>
          </w:p>
        </w:tc>
      </w:tr>
      <w:tr>
        <w:tc>
          <w:tcPr>
            <w:tcW w:type="dxa" w:w="794"/>
          </w:tcPr>
          <w:p>
            <w:r>
              <w:rPr>
                <w:sz w:val="18"/>
              </w:rPr>
              <w:t>W1</w:t>
            </w:r>
          </w:p>
        </w:tc>
        <w:tc>
          <w:tcPr>
            <w:tcW w:type="dxa" w:w="5102"/>
          </w:tcPr>
          <w:p>
            <w:r>
              <w:rPr>
                <w:sz w:val="18"/>
              </w:rPr>
              <w:t>데이터 확보·라이선스 확인, 장면 선정, footprint 정리, 파이프라인 빌드(docker/conda 버전 고정), DIM 1차 생성</w:t>
            </w:r>
          </w:p>
        </w:tc>
        <w:tc>
          <w:tcPr>
            <w:tcW w:type="dxa" w:w="3175"/>
          </w:tcPr>
          <w:p>
            <w:r>
              <w:rPr>
                <w:sz w:val="18"/>
              </w:rPr>
              <w:t>데이터 인벤토리, DIM 점군 v1, 실행 환경</w:t>
            </w:r>
          </w:p>
        </w:tc>
      </w:tr>
      <w:tr>
        <w:tc>
          <w:tcPr>
            <w:tcW w:type="dxa" w:w="794"/>
          </w:tcPr>
          <w:p>
            <w:r>
              <w:rPr>
                <w:sz w:val="18"/>
              </w:rPr>
              <w:t>W2</w:t>
            </w:r>
          </w:p>
        </w:tc>
        <w:tc>
          <w:tcPr>
            <w:tcW w:type="dxa" w:w="5102"/>
          </w:tcPr>
          <w:p>
            <w:r>
              <w:rPr>
                <w:sz w:val="18"/>
              </w:rPr>
              <w:t>본 런 실행(입력×파이프라인×파라미터), 좌표 정합 검증</w:t>
            </w:r>
          </w:p>
        </w:tc>
        <w:tc>
          <w:tcPr>
            <w:tcW w:type="dxa" w:w="3175"/>
          </w:tcPr>
          <w:p>
            <w:r>
              <w:rPr>
                <w:sz w:val="18"/>
              </w:rPr>
              <w:t>CityJSON 산출물 세트, 정합 잔차표</w:t>
            </w:r>
          </w:p>
        </w:tc>
      </w:tr>
      <w:tr>
        <w:tc>
          <w:tcPr>
            <w:tcW w:type="dxa" w:w="794"/>
          </w:tcPr>
          <w:p>
            <w:r>
              <w:rPr>
                <w:sz w:val="18"/>
              </w:rPr>
              <w:t>W3</w:t>
            </w:r>
          </w:p>
        </w:tc>
        <w:tc>
          <w:tcPr>
            <w:tcW w:type="dxa" w:w="5102"/>
          </w:tcPr>
          <w:p>
            <w:r>
              <w:rPr>
                <w:sz w:val="18"/>
              </w:rPr>
              <w:t>지표 산출, failure taxonomy 작성, 건물 단위 사례 갤러리</w:t>
            </w:r>
          </w:p>
        </w:tc>
        <w:tc>
          <w:tcPr>
            <w:tcW w:type="dxa" w:w="3175"/>
          </w:tcPr>
          <w:p>
            <w:r>
              <w:rPr>
                <w:sz w:val="18"/>
              </w:rPr>
              <w:t>결과표, 갤러리(그림 1.1 후보)</w:t>
            </w:r>
          </w:p>
        </w:tc>
      </w:tr>
      <w:tr>
        <w:tc>
          <w:tcPr>
            <w:tcW w:type="dxa" w:w="794"/>
          </w:tcPr>
          <w:p>
            <w:r>
              <w:rPr>
                <w:sz w:val="18"/>
              </w:rPr>
              <w:t>W4</w:t>
            </w:r>
          </w:p>
        </w:tc>
        <w:tc>
          <w:tcPr>
            <w:tcW w:type="dxa" w:w="5102"/>
          </w:tcPr>
          <w:p>
            <w:r>
              <w:rPr>
                <w:sz w:val="18"/>
              </w:rPr>
              <w:t>미니 리포트 작성, Ch1 그림 확정, E1 절 초안</w:t>
            </w:r>
          </w:p>
        </w:tc>
        <w:tc>
          <w:tcPr>
            <w:tcW w:type="dxa" w:w="3175"/>
          </w:tcPr>
          <w:p>
            <w:r>
              <w:rPr>
                <w:sz w:val="18"/>
              </w:rPr>
              <w:t>지도교수 보고 패키지</w:t>
            </w:r>
          </w:p>
        </w:tc>
      </w:tr>
    </w:tbl>
    <w:p>
      <w:pPr>
        <w:spacing w:after="40"/>
      </w:pPr>
    </w:p>
    <w:p>
      <w:pPr>
        <w:pStyle w:val="Heading1"/>
      </w:pPr>
      <w:r>
        <w:t>8. 리스크와 프레임 전환 옵션</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494"/>
            <w:shd w:val="clear" w:fill="D9E8F2"/>
          </w:tcPr>
          <w:p>
            <w:r>
              <w:rPr>
                <w:b/>
                <w:sz w:val="18"/>
              </w:rPr>
              <w:t>리스크</w:t>
            </w:r>
          </w:p>
        </w:tc>
        <w:tc>
          <w:tcPr>
            <w:tcW w:type="dxa" w:w="2835"/>
            <w:shd w:val="clear" w:fill="D9E8F2"/>
          </w:tcPr>
          <w:p>
            <w:r>
              <w:rPr>
                <w:b/>
                <w:sz w:val="18"/>
              </w:rPr>
              <w:t>영향</w:t>
            </w:r>
          </w:p>
        </w:tc>
        <w:tc>
          <w:tcPr>
            <w:tcW w:type="dxa" w:w="3742"/>
            <w:shd w:val="clear" w:fill="D9E8F2"/>
          </w:tcPr>
          <w:p>
            <w:r>
              <w:rPr>
                <w:b/>
                <w:sz w:val="18"/>
              </w:rPr>
              <w:t>대응</w:t>
            </w:r>
          </w:p>
        </w:tc>
      </w:tr>
      <w:tr>
        <w:tc>
          <w:tcPr>
            <w:tcW w:type="dxa" w:w="2494"/>
          </w:tcPr>
          <w:p>
            <w:r>
              <w:rPr>
                <w:sz w:val="18"/>
              </w:rPr>
              <w:t>TUM2TWIN 영상 표정·라이선스 문제</w:t>
            </w:r>
          </w:p>
        </w:tc>
        <w:tc>
          <w:tcPr>
            <w:tcW w:type="dxa" w:w="2835"/>
          </w:tcPr>
          <w:p>
            <w:r>
              <w:rPr>
                <w:sz w:val="18"/>
              </w:rPr>
              <w:t>주 무대 상실</w:t>
            </w:r>
          </w:p>
        </w:tc>
        <w:tc>
          <w:tcPr>
            <w:tcW w:type="dxa" w:w="3742"/>
          </w:tcPr>
          <w:p>
            <w:r>
              <w:rPr>
                <w:sz w:val="18"/>
              </w:rPr>
              <w:t>Vaihingen 우선으로 전환, NRW 예비 가동</w:t>
            </w:r>
          </w:p>
        </w:tc>
      </w:tr>
      <w:tr>
        <w:tc>
          <w:tcPr>
            <w:tcW w:type="dxa" w:w="2494"/>
          </w:tcPr>
          <w:p>
            <w:r>
              <w:rPr>
                <w:sz w:val="18"/>
              </w:rPr>
              <w:t>Vaihingen 중복도(60/30%)로 DIM 품질 한계</w:t>
            </w:r>
          </w:p>
        </w:tc>
        <w:tc>
          <w:tcPr>
            <w:tcW w:type="dxa" w:w="2835"/>
          </w:tcPr>
          <w:p>
            <w:r>
              <w:rPr>
                <w:sz w:val="18"/>
              </w:rPr>
              <w:t>“불공정 비교” 반론</w:t>
            </w:r>
          </w:p>
        </w:tc>
        <w:tc>
          <w:tcPr>
            <w:tcW w:type="dxa" w:w="3742"/>
          </w:tcPr>
          <w:p>
            <w:r>
              <w:rPr>
                <w:sz w:val="18"/>
              </w:rPr>
              <w:t>전형적 항공영상 취득 조건이라는 근거로 역이용 + TUM2TWIN UAV 고중복 조건으로 보완</w:t>
            </w:r>
          </w:p>
        </w:tc>
      </w:tr>
      <w:tr>
        <w:tc>
          <w:tcPr>
            <w:tcW w:type="dxa" w:w="2494"/>
          </w:tcPr>
          <w:p>
            <w:r>
              <w:rPr>
                <w:sz w:val="18"/>
              </w:rPr>
              <w:t>footprint 품질이 결과를 지배</w:t>
            </w:r>
          </w:p>
        </w:tc>
        <w:tc>
          <w:tcPr>
            <w:tcW w:type="dxa" w:w="2835"/>
          </w:tcPr>
          <w:p>
            <w:r>
              <w:rPr>
                <w:sz w:val="18"/>
              </w:rPr>
              <w:t>입력 효과 희석</w:t>
            </w:r>
          </w:p>
        </w:tc>
        <w:tc>
          <w:tcPr>
            <w:tcW w:type="dxa" w:w="3742"/>
          </w:tcPr>
          <w:p>
            <w:r>
              <w:rPr>
                <w:sz w:val="18"/>
              </w:rPr>
              <w:t>동일 footprint 고정으로 통제, footprint 민감도는 범위 외 명시</w:t>
            </w:r>
          </w:p>
        </w:tc>
      </w:tr>
      <w:tr>
        <w:tc>
          <w:tcPr>
            <w:tcW w:type="dxa" w:w="2494"/>
          </w:tcPr>
          <w:p>
            <w:r>
              <w:rPr>
                <w:sz w:val="18"/>
              </w:rPr>
              <w:t>좌표 정합 오차의 오염</w:t>
            </w:r>
          </w:p>
        </w:tc>
        <w:tc>
          <w:tcPr>
            <w:tcW w:type="dxa" w:w="2835"/>
          </w:tcPr>
          <w:p>
            <w:r>
              <w:rPr>
                <w:sz w:val="18"/>
              </w:rPr>
              <w:t>결론 신뢰 훼손</w:t>
            </w:r>
          </w:p>
        </w:tc>
        <w:tc>
          <w:tcPr>
            <w:tcW w:type="dxa" w:w="3742"/>
          </w:tcPr>
          <w:p>
            <w:r>
              <w:rPr>
                <w:sz w:val="18"/>
              </w:rPr>
              <w:t>잔차 보고 + 임계 1/3 규칙(4절)</w:t>
            </w:r>
          </w:p>
        </w:tc>
      </w:tr>
      <w:tr>
        <w:tc>
          <w:tcPr>
            <w:tcW w:type="dxa" w:w="2494"/>
          </w:tcPr>
          <w:p>
            <w:r>
              <w:rPr>
                <w:sz w:val="18"/>
              </w:rPr>
              <w:t>Roofer/City3D 빌드·호환 이슈</w:t>
            </w:r>
          </w:p>
        </w:tc>
        <w:tc>
          <w:tcPr>
            <w:tcW w:type="dxa" w:w="2835"/>
          </w:tcPr>
          <w:p>
            <w:r>
              <w:rPr>
                <w:sz w:val="18"/>
              </w:rPr>
              <w:t>일정 지연</w:t>
            </w:r>
          </w:p>
        </w:tc>
        <w:tc>
          <w:tcPr>
            <w:tcW w:type="dxa" w:w="3742"/>
          </w:tcPr>
          <w:p>
            <w:r>
              <w:rPr>
                <w:sz w:val="18"/>
              </w:rPr>
              <w:t>W1에 빌드 선행, 실패 시 Roofer 단독으로 축소</w:t>
            </w:r>
          </w:p>
        </w:tc>
      </w:tr>
      <w:tr>
        <w:tc>
          <w:tcPr>
            <w:tcW w:type="dxa" w:w="2494"/>
          </w:tcPr>
          <w:p>
            <w:r>
              <w:rPr>
                <w:sz w:val="18"/>
              </w:rPr>
              <w:t>H0: DIM에서도 잘 동작</w:t>
            </w:r>
          </w:p>
        </w:tc>
        <w:tc>
          <w:tcPr>
            <w:tcW w:type="dxa" w:w="2835"/>
          </w:tcPr>
          <w:p>
            <w:r>
              <w:rPr>
                <w:sz w:val="18"/>
              </w:rPr>
              <w:t>동기 상실</w:t>
            </w:r>
          </w:p>
        </w:tc>
        <w:tc>
          <w:tcPr>
            <w:tcW w:type="dxa" w:w="3742"/>
          </w:tcPr>
          <w:p>
            <w:r>
              <w:rPr>
                <w:sz w:val="18"/>
              </w:rPr>
              <w:t>아래 프레임 전환 옵션</w:t>
            </w:r>
          </w:p>
        </w:tc>
      </w:tr>
    </w:tbl>
    <w:p>
      <w:pPr>
        <w:spacing w:after="40"/>
      </w:pPr>
    </w:p>
    <w:p>
      <w:r>
        <w:t>H0가 나오는 경우의 프레임 전환 옵션은 세 가지다. ① 효율 프레임 — DIM 중간 단계의 처리 시간·비용 자체를 문제로 두고, 2DGS 직접 최적화로 단계를 단축한다(처리 시간 비교라는 정량 근거 필요). ② 의미 품질 프레임 — 기하는 동등하더라도 semantic surface 할당과 관계 구조의 품질 차이를 평가 축으로 옮긴다. 이 경우 1.3.1의 의미 정보 지위 논거가 그대로 주 동기가 된다. ③ 난이도 프레임 — 단순 지붕에서는 동등하나 복합 지붕·가림 조건에서 저하된다면 적용 범위를 그 영역으로 특정한다. 셋 중 무엇이 성립하는지도 P0 데이터에서 판단할 수 있으므로, P0는 어떤 결과가 나와도 손실이 아니다.</w:t>
      </w:r>
    </w:p>
    <w:p>
      <w:pPr>
        <w:pStyle w:val="Heading1"/>
      </w:pPr>
      <w:r>
        <w:t>9. 보고 형식</w:t>
      </w:r>
    </w:p>
    <w:p>
      <w:r>
        <w:t>지도교수 미팅용 1쪽 요약은 다음 구조를 따른다. ① 관찰 — 동일 건물 paired 사례 그림 2개. ② 수치 — paired 비교표 1개. ③ 원인 — 입력 점군 진단 지표와 실패 유형의 대응. ④ 판정 — 6절 기준 적용 결과와 다음 단계. 상세 결과는 부록으로 첨부한다.</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