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1F3A5F"/>
          <w:sz w:val="52"/>
          <w:szCs w:val="52"/>
          <w:rFonts w:ascii="맑은 고딕" w:cs="맑은 고딕" w:eastAsia="맑은 고딕" w:hAnsi="맑은 고딕"/>
        </w:rPr>
        <w:t xml:space="preserve">신용평가시스템 개발 계획서</w:t>
      </w:r>
    </w:p>
    <w:p>
      <w:pPr>
        <w:spacing w:after="800"/>
        <w:jc w:val="center"/>
      </w:pPr>
      <w:r>
        <w:rPr>
          <w:color w:val="4A5568"/>
          <w:sz w:val="28"/>
          <w:szCs w:val="28"/>
          <w:rFonts w:ascii="맑은 고딕" w:cs="맑은 고딕" w:eastAsia="맑은 고딕" w:hAnsi="맑은 고딕"/>
        </w:rPr>
        <w:t xml:space="preserve">sLLM 기반 부실가능성 예측 및 설명 시스템</w:t>
      </w:r>
    </w:p>
    <w:p>
      <w:pPr>
        <w:spacing w:before="400" w:after="100"/>
        <w:jc w:val="center"/>
      </w:pPr>
      <w:r>
        <w:rPr>
          <w:color w:val="2D3748"/>
          <w:sz w:val="22"/>
          <w:szCs w:val="22"/>
          <w:rFonts w:ascii="맑은 고딕" w:cs="맑은 고딕" w:eastAsia="맑은 고딕" w:hAnsi="맑은 고딕"/>
        </w:rPr>
        <w:t xml:space="preserve">NR캐피탈 신규사업 — 신용평가시스템 개발</w:t>
      </w:r>
    </w:p>
    <w:p>
      <w:pPr>
        <w:spacing w:after="100"/>
        <w:jc w:val="center"/>
      </w:pPr>
      <w:r>
        <w:rPr>
          <w:color w:val="718096"/>
          <w:sz w:val="20"/>
          <w:szCs w:val="20"/>
          <w:rFonts w:ascii="맑은 고딕" w:cs="맑은 고딕" w:eastAsia="맑은 고딕" w:hAnsi="맑은 고딕"/>
        </w:rPr>
        <w:t xml:space="preserve">작성일: 2026-05-22</w:t>
      </w:r>
    </w:p>
    <w:p>
      <w:pPr>
        <w:jc w:val="center"/>
      </w:pPr>
      <w:r>
        <w:rPr>
          <w:color w:val="718096"/>
          <w:sz w:val="20"/>
          <w:szCs w:val="20"/>
          <w:rFonts w:ascii="맑은 고딕" w:cs="맑은 고딕" w:eastAsia="맑은 고딕" w:hAnsi="맑은 고딕"/>
        </w:rPr>
        <w:t xml:space="preserve">버전: v1.0 (개발 계획 초안)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1. 개요 및 사업 목표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1.1 사업 배경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본 사업은 개인 신용정보를 기반으로 부실가능성(default probability)을 산출하고, 그 산출 근거를 다각도로 설명하는 신용평가시스템을 자체 개발하는 데 목적이 있다. 기존 외부 신용평가사(KCB·NICE) 의존도를 낮추고, 당사의 대출 포트폴리오 특성에 최적화된 내부 평가 모델을 보유함으로써 심사 정확도 향상과 리스크 관리 고도화를 동시에 달성한다.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1.2 핵심 기능 (4대 요구사항)</w:t>
      </w:r>
    </w:p>
    <w:p>
      <w:pPr>
        <w:pStyle w:val="ListParagraph"/>
        <w:numPr>
          <w:ilvl w:val="0"/>
          <w:numId w:val="2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원천 데이터(raw)를 지정 폴더에 입력하면 자동으로 학습용 데이터로 변환하는 데이터 파이프라인 기능</w:t>
      </w:r>
    </w:p>
    <w:p>
      <w:pPr>
        <w:pStyle w:val="ListParagraph"/>
        <w:numPr>
          <w:ilvl w:val="0"/>
          <w:numId w:val="2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HuggingFace에 공개된 우수한 sLLM(소형 언어모델)을 지정하면 자동 다운로드 후 즉시 학습용 데이터로 파인튜닝을 수행하는 모델 학습 기능</w:t>
      </w:r>
    </w:p>
    <w:p>
      <w:pPr>
        <w:pStyle w:val="ListParagraph"/>
        <w:numPr>
          <w:ilvl w:val="0"/>
          <w:numId w:val="2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개인의 신용정보·개인정보를 입력하면 부실가능성을 점수(score)로 산출하여 제공하는 추론 기능</w:t>
      </w:r>
    </w:p>
    <w:p>
      <w:pPr>
        <w:pStyle w:val="ListParagraph"/>
        <w:numPr>
          <w:ilvl w:val="0"/>
          <w:numId w:val="2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산출된 점수를 다양한 방법(통계적 기여도·시각화·자연어·반사실 시나리오)으로 설명하는 XAI(설명가능 AI) 기능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1.3 성공 기준 (Acceptance Criteria)</w:t>
      </w:r>
    </w:p>
    <w:p>
      <w:pPr>
        <w:pStyle w:val="ListParagraph"/>
        <w:numPr>
          <w:ilvl w:val="0"/>
          <w:numId w:val="3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베이스라인(LightGBM) 대비 ROC-AUC 동등 이상 (목표 0.75↑, 최소 0.70)</w:t>
      </w:r>
    </w:p>
    <w:p>
      <w:pPr>
        <w:pStyle w:val="ListParagraph"/>
        <w:numPr>
          <w:ilvl w:val="0"/>
          <w:numId w:val="3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Lending Club PoC 데이터에서 KS 통계량 0.30↑</w:t>
      </w:r>
    </w:p>
    <w:p>
      <w:pPr>
        <w:pStyle w:val="ListParagraph"/>
        <w:numPr>
          <w:ilvl w:val="0"/>
          <w:numId w:val="3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단건 추론 응답 시간 2초 이내 (양자화 후 추론 기준)</w:t>
      </w:r>
    </w:p>
    <w:p>
      <w:pPr>
        <w:pStyle w:val="ListParagraph"/>
        <w:numPr>
          <w:ilvl w:val="0"/>
          <w:numId w:val="3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4종 이상의 설명 방식이 동일 의사결정에 대해 일관된 결론 제시</w:t>
      </w:r>
    </w:p>
    <w:p>
      <w:pPr>
        <w:pStyle w:val="ListParagraph"/>
        <w:numPr>
          <w:ilvl w:val="0"/>
          <w:numId w:val="3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재현 가능한 학습 파이프라인 (동일 시드·동일 데이터 → 동일 결과)</w:t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2. 시스템 아키텍처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2.1 전체 구성도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시스템은 4개의 핵심 모듈과 공통 인프라(스토리지·실험관리·모니터링)로 구성된다. 사용자는 ① 원천 데이터를 raw_data/ 폴더에 적재 → ② config 파일에서 HuggingFace 모델 ID 지정 → ③ 학습 명령 실행 → ④ 학습 완료 후 추론 API로 개인 데이터 입력 → ⑤ 점수와 설명 리포트 수령의 순서로 사용한다.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</w:r>
    </w:p>
    <w:p>
      <w:pPr>
        <w:spacing w:before="80" w:after="80" w:line="320"/>
        <w:jc w:val="both"/>
      </w:pPr>
      <w:r>
        <w:rPr>
          <w:b/>
          <w:bCs/>
          <w:sz w:val="22"/>
          <w:szCs w:val="22"/>
          <w:rFonts w:ascii="맑은 고딕" w:cs="맑은 고딕" w:eastAsia="맑은 고딕" w:hAnsi="맑은 고딕"/>
        </w:rPr>
        <w:t xml:space="preserve">[데이터 흐름]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raw_data/ → M1(데이터 파이프라인) → processed_data/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processed_data/ + HF Model ID → M2(모델 관리·학습) → trained_adapter/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개인 신용정보 JSON + trained_adapter/ → M3(추론) → 점수·등급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점수·입력데이터 → M4(XAI) → 설명 리포트 (5종)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2.2 모듈 매트릭스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1500"/>
        <w:gridCol w:w="2600"/>
        <w:gridCol w:w="2600"/>
        <w:gridCol w:w="266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모듈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입력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핵심 처리</w:t>
            </w:r>
          </w:p>
        </w:tc>
        <w:tc>
          <w:tcPr>
            <w:tcW w:type="dxa" w:w="2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출력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M1
데이터
파이프라인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원천 CSV/Parquet (raw_data/)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스키마 검증·결측치 처리·범주형 인코딩·피처엔지니어링·텍스트직렬화·train/val/test 분할</w:t>
            </w:r>
          </w:p>
        </w:tc>
        <w:tc>
          <w:tcPr>
            <w:tcW w:type="dxa" w:w="2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학습용 데이터셋 (processed_data/)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M2
모델 관리
학습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HuggingFace 모델 ID, 하이퍼파라미터, 학습 데이터셋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모델 다운로드·LoRA/QLoRA 어댑터 학습·체크포인트 저장·실험 로깅</w:t>
            </w:r>
          </w:p>
        </w:tc>
        <w:tc>
          <w:tcPr>
            <w:tcW w:type="dxa" w:w="2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학습된 어댑터·평가 메트릭·MLflow 로그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M3
추론·
점수산출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개인 신용정보·개인정보 JSON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프롬프트 직렬화·sLLM 추론·부실확률→1000점 척도 변환·신용등급 부여</w:t>
            </w:r>
          </w:p>
        </w:tc>
        <w:tc>
          <w:tcPr>
            <w:tcW w:type="dxa" w:w="2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부실가능성 점수, 신용등급(A~F), 신뢰구간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M4
설명가능성
(XAI)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개인 데이터 + M3 점수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SHAP·LIME·어텐션 시각화·LLM 자가설명·반사실 시나리오 생성</w:t>
            </w:r>
          </w:p>
        </w:tc>
        <w:tc>
          <w:tcPr>
            <w:tcW w:type="dxa" w:w="2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4가지 형식의 설명 리포트(HTML/PDF)</w:t>
            </w:r>
          </w:p>
        </w:tc>
      </w:tr>
    </w:tbl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3. 모듈별 상세 설계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3.1 M1 — 데이터 파이프라인 (원천 → 학습용 변환)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3.1.1 기능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raw_data/ 폴더 감시(파일 시스템 watcher 또는 CLI trigger)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CSV·Parquet·Excel 등 다양한 입력 포맷 자동 인식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pydantic 기반 스키마 검증 (필수 컬럼·타입 체크)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결측치 처리(범주형은 'Unknown' 카테고리, 수치형은 중앙값 또는 -1 플래그)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이상치 제거 (IQR·도메인 룰)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피처 엔지니어링 (신용연령, DTI 변환, 비율 변수 생성 등)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타겟 변수 이진 매핑 (부실/정상)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⚠ post-origination 변수 강제 차단 (블랙리스트)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Tabular → Text 직렬화 (sLLM 학습용 프롬프트 변환)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train/validation/test 분할 (시간 분할 권장, 8:1:1)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processed_data/ 폴더에 결과 저장 + 메타데이터(version, schema_hash)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3.1.2 Tabular → Text 직렬화 템플릿 (예시)</w:t>
      </w:r>
    </w:p>
    <w:p>
      <w:pPr>
        <w:spacing w:before="80" w:after="80" w:line="320"/>
        <w:jc w:val="both"/>
      </w:pPr>
      <w:r>
        <w:rPr>
          <w:b/>
          <w:bCs/>
          <w:sz w:val="22"/>
          <w:szCs w:val="22"/>
          <w:rFonts w:ascii="맑은 고딕" w:cs="맑은 고딕" w:eastAsia="맑은 고딕" w:hAnsi="맑은 고딕"/>
        </w:rPr>
        <w:t xml:space="preserve">[자연어 직렬화 예]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"이 대출 신청자는 연소득 55,000달러이며 임차주거에 거주합니다. 신청 대출 금액은 2,500달러, 기간 36개월, 금리 13.56%입니다. DTI(부채상환비율)는 18.24%이며 FICO 점수 구간은 670-674입니다. 최근 6개월간 신용조회는 1건이고, 보유 신용계좌 9개 중 모두 정상입니다. 대출 목적은 부채 통합입니다."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3.1.3 핵심 인터페이스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CLI: python -m credit_system.pipeline ingest --input raw_data/ --output processed_data/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API: PipelineRunner(config).process() → ProcessedDataset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3.2 M2 — 모델 관리 및 학습 (HuggingFace 통합)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3.2.1 기능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config.yaml 또는 CLI에서 HuggingFace model_id 입력 (예: meta-llama/Llama-3.2-3B-Instruct)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huggingface_hub로 모델·토크나이저 자동 다운로드 및 캐시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라이선스 자동 점검(상업이용 가능 여부 경고)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QLoRA 4bit 양자화 적용 (메모리 절감)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LoRA 어댑터 학습 (target_modules는 모델별 자동 추론)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trl SFTTrainer로 instruction-tuning 방식 학습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학습 중 평가 메트릭 자동 측정 (loss, AUC on val set)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MLflow에 실험·하이퍼파라미터·메트릭·아티팩트 로깅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체크포인트 저장 및 best model 자동 선택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3.2.2 모델 선정 기준 (특정 모델명 비지정)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모델 생태계는 빠르게 진화하므로 특정 모델명을 박제하지 않고, 다음 조건을 만족하는 모델을 우선 후보로 한다.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파라미터 규모: 1B ~ 7B (학습·서빙 비용 균형)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라이선스: 상업 이용 가능 (Apache 2.0, MIT, Llama Community License 등)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LoRA/QLoRA 지원 및 PEFT 호환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토크나이저: 한국어 및 영어 모두 양호한 처리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우대: 금융·instruction-tuned variant 또는 한국어 특화 모델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PoC 단계 후보군 예시: Qwen 계열, Llama 계열, Phi 계열, 한국어 sLLM(SOLAR·EEVE 등) — 시점별 벤치마크에 따라 갱신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3.2.3 핵심 인터페이스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CLI: python -m credit_system.train --model_id &lt;HF_ID&gt; --dataset processed_data/ --output trained_adapter/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config: model_id, lr, epochs, batch_size, lora_r, lora_alpha, max_seq_len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3.3 M3 — 추론 및 점수 산출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3.3.1 기능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개인 신용정보·개인정보 JSON 입력 (M1 스키마와 동일)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M1 직렬화 템플릿으로 자연어 프롬프트 변환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학습된 sLLM 어댑터로 부실확률 산출 (출력 JSON schema 강제)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확률 → 1000점 척도 변환 (예: 부실확률 1% = 950점, 30% = 350점, 로지스틱 매핑)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신용등급 부여 (A: 900↑, B: 800-899, C: 700-799, D: 600-699, E: 500-599, F: 499↓)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Monte Carlo dropout 또는 캘리브레이션으로 신뢰구간 산출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FastAPI 기반 REST 엔드포인트 제공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3.3.2 출력 스키마 (예시 JSON)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{ "score": 742, "grade": "C", "default_probability": 0.087, "confidence_interval_95": [0.071, 0.104], "model_version": "v0.3-qwen-3b-lora", "explanation_url": "/explain/req_abc123" }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3.4 M4 — 설명가능성 (XAI)</w:t>
      </w:r>
    </w:p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3.4.1 5종 설명 방식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1800"/>
        <w:gridCol w:w="3200"/>
        <w:gridCol w:w="2680"/>
        <w:gridCol w:w="168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XAI 방법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설명 방식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대상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도구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① SHAP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각 변수가 점수에 얼마나 +/- 영향을 줬는지 기여도 정량화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심사역·리스크관리자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shap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② LIME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국소적 선형 근사로 개별 의사결정 요인 추출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심사역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lime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③ 어텐션 시각화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sLLM이 어느 입력 토큰(변수)에 주목했는지 히트맵으로 표시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모델 개발자·내부감사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BertViz, captum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④ LLM 자가 설명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"왜 이 점수인가"를 sLLM이 자연어로 설명 (소비자 친화)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최종 소비자·민원 대응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prompt template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⑤ 반사실 설명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"X가 Y였다면 점수는 Z만큼 변함" 시나리오 (개선 가이드)</w:t>
            </w:r>
          </w:p>
        </w:tc>
        <w:tc>
          <w:tcPr>
            <w:tcW w:type="dxa" w:w="2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최종 소비자·신용상담</w:t>
            </w:r>
          </w:p>
        </w:tc>
        <w:tc>
          <w:tcPr>
            <w:tcW w:type="dxa" w:w="1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DiCE, alibi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color w:val="2D3748"/>
          <w:sz w:val="23"/>
          <w:szCs w:val="23"/>
          <w:rFonts w:ascii="맑은 고딕" w:cs="맑은 고딕" w:eastAsia="맑은 고딕" w:hAnsi="맑은 고딕"/>
        </w:rPr>
        <w:t xml:space="preserve">3.4.2 통합 리포트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HTML 대시보드: 5종 설명을 탭으로 통합 제공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PDF 리포트: 민원·심사 보고용 인쇄 양식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JSON API: 외부 시스템 연동용 구조화 데이터</w:t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4. 기술 스택 및 인프라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2200"/>
        <w:gridCol w:w="7240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계층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권장 스택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언어·런타임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Python 3.11+, CUDA 12.x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데이터 처리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pandas, polars, pyarrow, scikit-learn, pydantic(스키마)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모델·학습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transformers, peft(LoRA/QLoRA), trl(SFT/DPO), bitsandbytes, accelerate, datasets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베이스라인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LightGBM, XGBoost, scikit-learn(LogReg)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XAI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shap, lime, captum, DiCE, BertViz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서빙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FastAPI, vLLM(추론최적화), Uvicorn, Docker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실험·버전관리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MLflow, DVC, Weights &amp; Biases(선택), Git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모니터링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Evidently AI(드리프트), Prometheus + Grafana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인프라(권장)</w:t>
            </w:r>
          </w:p>
        </w:tc>
        <w:tc>
          <w:tcPr>
            <w:tcW w:type="dxa" w:w="7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학습: A100 40GB×1 또는 RTX 4090×2 / 추론: A10·L4 또는 양자화 후 RTX 4090</w:t>
            </w:r>
          </w:p>
        </w:tc>
      </w:tr>
    </w:tbl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5. 개발 단계 및 일정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총 20주(약 5개월) 일정으로 7단계 진행. 각 단계는 검증 게이트 통과 시에만 다음 단계로 진행한다.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1200"/>
        <w:gridCol w:w="1400"/>
        <w:gridCol w:w="40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단계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기간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주요 산출물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검증 게이트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0
기획·인프라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1~2주차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요구사항 정의서·GPU 인프라 셋업·Git/MLflow/DVC 환경·코드 컨벤션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PoC 환경 동작, GPU 가용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1
데이터 파이프라인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3~5주차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M1 모듈 구현·Lending Club 데이터 정제·post-origination 변수 차단·텍스트 직렬화 템플릿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재현 가능한 학습셋, 누수 0건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2
베이스라인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6~7주차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LightGBM/XGBoost 베이스라인·AUC/KS/PSI 측정·비교 기준 확정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AUC ≥ 0.70 (정량 기준)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3
sLLM 학습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8~12주차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M2 모듈·HF 모델 자동 다운로드·QLoRA 학습 파이프라인·하이퍼파라미터 튜닝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베이스라인 대비 AUC 우위 or 동등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4
추론·점수화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13~14주차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M3 모듈·점수 변환 로직(부실확률→1000점)·등급체계·API 서버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API 응답 &lt; 2초, 등급분포 합리성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5
XAI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15~17주차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M4 모듈·SHAP/LIME/어텐션/LLM자가설명/반사실 5종 설명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설명 일관성·법규 부합성 검토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Phase 6
통합·검증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18~20주차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E2E 통합테스트·성능/안정성·모델 모니터링(드리프트)·문서화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UAT 통과, 컴플라이언스 검토 완료</w:t>
            </w:r>
          </w:p>
        </w:tc>
      </w:tr>
    </w:tbl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6. 데이터 스키마 (PoC: Lending Club 기반)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data_source/loan.csv (Lending Club 2007-2018, 약 89만건·150여개 변수)를 PoC 데이터로 사용한다. 본 시스템의 학습용 데이터 스키마는 아래와 같이 정의한다.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2400"/>
        <w:gridCol w:w="1800"/>
        <w:gridCol w:w="524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범주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대표 변수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설명·처리 방침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emp_length, home_ownership, annual_inc, verification_status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범주형 인코딩, 결측치는 별도 카테고리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대출조건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loan_amnt, term, int_rate, installment, grade, sub_grade, purpose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학습 피처 사용 가능 (신청시점 변수)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F2F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신용이력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dti, delinq_2yrs, earliest_cr_line, fico_range_*, inq_last_6mths, open_acc, pub_rec, revol_util, total_acc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핵심 예측 피처. earliest_cr_line은 신용연령으로 변환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5B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타겟 변수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loan_status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이진 매핑: 부실=Charged Off/Default/Late 31-120일, 정상=Fully Paid, 제외=Current/In Grace/Late &lt;31일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⚠ 사용금지 (data leakage)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total_pymnt, total_rec_*, recoveries, last_pymnt_*, out_prncp, collection_recovery_fee, hardship_*</w:t>
            </w:r>
          </w:p>
        </w:tc>
        <w:tc>
          <w:tcPr>
            <w:tcW w:type="dxa" w:w="5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대출 실행 이후 발생 변수 — 학습 피처로 사용 시 가짜 성능 발생. M1에서 강제 차단</w:t>
            </w:r>
          </w:p>
        </w:tc>
      </w:tr>
    </w:tbl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</w:r>
    </w:p>
    <w:p>
      <w:pPr>
        <w:spacing w:before="80" w:after="80" w:line="320"/>
        <w:jc w:val="both"/>
      </w:pPr>
      <w:r>
        <w:rPr>
          <w:b/>
          <w:bCs/>
          <w:color w:val="8B0000"/>
          <w:sz w:val="22"/>
          <w:szCs w:val="22"/>
          <w:rFonts w:ascii="맑은 고딕" w:cs="맑은 고딕" w:eastAsia="맑은 고딕" w:hAnsi="맑은 고딕"/>
        </w:rPr>
        <w:t xml:space="preserve">※ 본운영 단계에서는 한국 신용정보(KCB/NICE, 4대보험, 카드대금, 통신비 등)와 변수체계가 상이하므로, 별도의 도메인 매핑·통합 단계가 필요하다. 본 계획서는 PoC/프로토타입 단계까지를 1차 범위로 한다.</w:t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7. 규제 및 컴플라이언스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7.1 적용 법규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개인정보 보호법 (개인정보 수집·이용·제공·파기)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신용정보의 이용 및 보호에 관한 법률 (신용정보 수집·평가모형 검증·자동화된 평가에 대한 설명요구권)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정보통신망 이용촉진 및 정보보호 등에 관한 법률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AI 기본법 (향후 시행 시): 고위험 AI 시스템 분류 가능성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금감원 「개인신용평가체계 모범규준」</w:t>
      </w:r>
    </w:p>
    <w:p>
      <w:pPr>
        <w:pStyle w:val="Heading2"/>
        <w:spacing w:before="280" w:after="140"/>
      </w:pPr>
      <w:r>
        <w:rPr>
          <w:b/>
          <w:bCs/>
          <w:color w:val="2C5282"/>
          <w:sz w:val="26"/>
          <w:szCs w:val="26"/>
          <w:rFonts w:ascii="맑은 고딕" w:cs="맑은 고딕" w:eastAsia="맑은 고딕" w:hAnsi="맑은 고딕"/>
        </w:rPr>
        <w:t xml:space="preserve">7.2 필수 준수 사항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학습 데이터 가명·익명처리 (개인식별정보 분리)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자동화된 평가 결과에 대한 설명요구권 대응 → M4(XAI)로 충족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평가모형의 합리성 검증 자료 보존 (성능지표·검증보고서)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차별금지 변수(성별·인종·종교 등) 학습 피처 배제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정기적 모형 검증 및 재학습 이력 관리</w:t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8. 리스크 분석 및 완화 방안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2200"/>
        <w:gridCol w:w="1600"/>
        <w:gridCol w:w="16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리스크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발생가능성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영향도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528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  <w:rFonts w:ascii="맑은 고딕" w:cs="맑은 고딕" w:eastAsia="맑은 고딕" w:hAnsi="맑은 고딕"/>
              </w:rPr>
              <w:t xml:space="preserve">완화 방안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데이터 누수 (post-origination 변수 혼입)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M1에 변수 블랙리스트 강제 적용, 자동 검증 테스트 포함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미국(LC) ↔ 한국 데이터 도메인 갭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PoC=LC, 본운영=KCB/NICE 데이터 추가 통합 단계 별도 수립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sLLM이 트리모델 대비 열위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베이스라인 병행 운영, 하이브리드(앙상블) 옵션 확보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개인정보·신용정보 유출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저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매우 높음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학습 데이터 가명처리, 접근통제, 학습 결과물에 PII 비유출 검증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LLM 환각(hallucination) 기반 점수 왜곡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출력 형식 강제(JSON schema), 후처리 검증, 신뢰구간 함께 산출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규제 변경(AI 기본법·신정법 개정)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법무팀 정기 검토, 설명가능성 산출물 표준화로 대응력 확보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모델 드리프트(시간 경과로 성능 저하)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D7D7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높음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PSI 모니터링·분기 재학습 자동화·챔피언/챌린저 운영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GPU 비용·인프라 한계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중</w:t>
            </w:r>
          </w:p>
        </w:tc>
        <w:tc>
          <w:tcPr>
            <w:tcW w:type="dxa" w:w="3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맑은 고딕" w:cs="맑은 고딕" w:eastAsia="맑은 고딕" w:hAnsi="맑은 고딕"/>
              </w:rPr>
              <w:t xml:space="preserve">QLoRA 4bit 양자화, 학습은 클라우드 스팟·추론은 온프레미스 분리</w:t>
            </w:r>
          </w:p>
        </w:tc>
      </w:tr>
    </w:tbl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9. 산출물 목록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요구사항 정의서 (RFP·SRS)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시스템 아키텍처 설계서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모듈별 상세 설계서 (M1~M4)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데이터 파이프라인 코드 + 단위테스트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학습 파이프라인 코드 (HF 통합 + QLoRA)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추론 서버 코드 (FastAPI + Docker 이미지)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XAI 모듈 코드 + 리포트 템플릿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베이스라인 모델 vs sLLM 성능 비교 보고서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모형 검증 보고서 (AUC/KS/PSI/캘리브레이션)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운영 매뉴얼·재학습 SOP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컴플라이언스 체크리스트 및 법무 검토서</w:t>
      </w:r>
    </w:p>
    <w:p>
      <w:pPr>
        <w:pStyle w:val="ListParagraph"/>
        <w:numPr>
          <w:ilvl w:val="0"/>
          <w:numId w:val="5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최종 시연용 데모 (Lending Club PoC 결과)</w:t>
      </w:r>
    </w:p>
    <w:p>
      <w:pPr>
        <w:pStyle w:val="Heading1"/>
        <w:spacing w:before="400" w:after="200"/>
      </w:pPr>
      <w:r>
        <w:rPr>
          <w:b/>
          <w:bCs/>
          <w:color w:val="1F3A5F"/>
          <w:sz w:val="32"/>
          <w:szCs w:val="32"/>
          <w:rFonts w:ascii="맑은 고딕" w:cs="맑은 고딕" w:eastAsia="맑은 고딕" w:hAnsi="맑은 고딕"/>
        </w:rPr>
        <w:t xml:space="preserve">10. PoC 이후 후속 과제 (Out of Scope)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  <w:t xml:space="preserve">아래 항목은 본 계획서 1차 범위에 포함되지 않으며, PoC 성공 시 별도 사업으로 추진한다.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한국 신용정보(KCB·NICE) API 연동 및 변수 통합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당사 보유 내부 데이터(상환이력·연체이력) 학습 통합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운영 시스템(코어뱅킹·여신심사시스템) 연동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법무·금감원 사전협의 및 모형 승인 절차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실시간 데이터 파이프라인(스트리밍·CDC) 구축</w:t>
      </w:r>
    </w:p>
    <w:p>
      <w:pPr>
        <w:pStyle w:val="ListParagraph"/>
        <w:numPr>
          <w:ilvl w:val="0"/>
          <w:numId w:val="4"/>
        </w:numPr>
        <w:spacing w:before="40" w:after="40" w:line="300"/>
      </w:pPr>
      <w:r>
        <w:rPr>
          <w:sz w:val="22"/>
          <w:szCs w:val="22"/>
          <w:rFonts w:ascii="맑은 고딕" w:cs="맑은 고딕" w:eastAsia="맑은 고딕" w:hAnsi="맑은 고딕"/>
        </w:rPr>
        <w:t xml:space="preserve">멀티 모델 앙상블 및 챔피언/챌린저 운영체계</w:t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</w:r>
    </w:p>
    <w:p>
      <w:pPr>
        <w:spacing w:before="80" w:after="80" w:line="320"/>
        <w:jc w:val="both"/>
      </w:pPr>
      <w:r>
        <w:rPr>
          <w:sz w:val="22"/>
          <w:szCs w:val="22"/>
          <w:rFonts w:ascii="맑은 고딕" w:cs="맑은 고딕" w:eastAsia="맑은 고딕" w:hAnsi="맑은 고딕"/>
        </w:rPr>
      </w:r>
    </w:p>
    <w:p>
      <w:pPr>
        <w:spacing w:before="80" w:after="80" w:line="320"/>
        <w:jc w:val="center"/>
      </w:pPr>
      <w:r>
        <w:rPr>
          <w:b/>
          <w:bCs/>
          <w:color w:val="718096"/>
          <w:sz w:val="22"/>
          <w:szCs w:val="22"/>
          <w:rFonts w:ascii="맑은 고딕" w:cs="맑은 고딕" w:eastAsia="맑은 고딕" w:hAnsi="맑은 고딕"/>
        </w:rPr>
        <w:t xml:space="preserve">— 끝 —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18096"/>
        <w:sz w:val="18"/>
        <w:szCs w:val="18"/>
        <w:rFonts w:ascii="맑은 고딕" w:cs="맑은 고딕" w:eastAsia="맑은 고딕" w:hAnsi="맑은 고딕"/>
      </w:rPr>
      <w:t xml:space="preserve">- </w:t>
    </w:r>
    <w:r>
      <w:rPr>
        <w:color w:val="718096"/>
        <w:sz w:val="18"/>
        <w:szCs w:val="18"/>
        <w:rFonts w:ascii="맑은 고딕" w:cs="맑은 고딕" w:eastAsia="맑은 고딕" w:hAnsi="맑은 고딕"/>
      </w:rPr>
      <w:fldChar w:fldCharType="begin"/>
      <w:instrText xml:space="preserve">PAGE</w:instrText>
      <w:fldChar w:fldCharType="separate"/>
      <w:fldChar w:fldCharType="end"/>
    </w:r>
    <w:r>
      <w:rPr>
        <w:color w:val="718096"/>
        <w:sz w:val="18"/>
        <w:szCs w:val="18"/>
        <w:rFonts w:ascii="맑은 고딕" w:cs="맑은 고딕" w:eastAsia="맑은 고딕" w:hAnsi="맑은 고딕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18096"/>
        <w:sz w:val="18"/>
        <w:szCs w:val="18"/>
        <w:rFonts w:ascii="맑은 고딕" w:cs="맑은 고딕" w:eastAsia="맑은 고딕" w:hAnsi="맑은 고딕"/>
      </w:rPr>
      <w:t xml:space="preserve">신용평가시스템 개발 계획서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F3A5F"/>
      <w:sz w:val="32"/>
      <w:szCs w:val="32"/>
      <w:rFonts w:ascii="맑은 고딕" w:cs="맑은 고딕" w:eastAsia="맑은 고딕" w:hAnsi="맑은 고딕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2C5282"/>
      <w:sz w:val="26"/>
      <w:szCs w:val="26"/>
      <w:rFonts w:ascii="맑은 고딕" w:cs="맑은 고딕" w:eastAsia="맑은 고딕" w:hAnsi="맑은 고딕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2D3748"/>
      <w:sz w:val="23"/>
      <w:szCs w:val="23"/>
      <w:rFonts w:ascii="맑은 고딕" w:cs="맑은 고딕" w:eastAsia="맑은 고딕" w:hAnsi="맑은 고딕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2026-05-22T09:13:40.159Z</dcterms:created>
  <dcterms:modified xsi:type="dcterms:W3CDTF">2026-05-22T09:13:40.161Z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