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  <w:jc w:val="center"/>
      </w:pPr>
      <w:r>
        <w:rPr>
          <w:b/>
          <w:i w:val="0"/>
          <w:color w:val="7F1D1D"/>
          <w:sz w:val="40"/>
        </w:rPr>
        <w:t>决赛作品说明文档</w:t>
      </w:r>
    </w:p>
    <w:p>
      <w:pPr>
        <w:spacing w:after="240"/>
        <w:jc w:val="center"/>
      </w:pPr>
      <w:r>
        <w:rPr>
          <w:b w:val="0"/>
          <w:i w:val="0"/>
          <w:color w:val="6B6462"/>
          <w:sz w:val="21"/>
        </w:rPr>
        <w:t>供评审参阅材料 · 版本 6.0.0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524"/>
            <w:shd w:fill="F9E8E6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val="single" w:sz="18" w:color="A52A2A"/>
              <w:bottom w:val="nil"/>
              <w:right w:val="nil"/>
            </w:tcBorders>
          </w:tcPr>
          <w:p>
            <w:pPr>
              <w:spacing w:after="80"/>
            </w:pPr>
            <w:r>
              <w:rPr>
                <w:b/>
                <w:i w:val="0"/>
                <w:color w:val="A52A2A"/>
                <w:sz w:val="21"/>
              </w:rPr>
              <w:t>一句话定位</w:t>
            </w:r>
          </w:p>
          <w:p>
            <w:pPr>
              <w:spacing w:after="0" w:line="276" w:lineRule="auto"/>
            </w:pPr>
            <w:r>
              <w:rPr>
                <w:b w:val="0"/>
                <w:i w:val="0"/>
                <w:color w:val="242124"/>
                <w:sz w:val="19"/>
              </w:rPr>
              <w:t>StructPilot 是面向 cryo-EM 单颗粒分析的流程导航与知识协作系统：把分散的操作步骤、参数含义、质量控制和故障排查组织成可追踪的对话式工作流。</w:t>
            </w:r>
          </w:p>
        </w:tc>
      </w:tr>
    </w:tbl>
    <w:p>
      <w:pPr>
        <w:spacing w:after="20"/>
      </w:pPr>
    </w:p>
    <w:p>
      <w:pPr>
        <w:spacing w:before="1440"/>
        <w:jc w:val="center"/>
      </w:pPr>
      <w:r>
        <w:rPr>
          <w:b w:val="0"/>
          <w:i w:val="0"/>
          <w:color w:val="6B6462"/>
          <w:sz w:val="18"/>
        </w:rPr>
        <w:t>提交版本：StructPilot_v6 · 2026 年 7 月</w:t>
      </w:r>
    </w:p>
    <w:p>
      <w:pPr>
        <w:jc w:val="center"/>
      </w:pPr>
      <w:r>
        <w:rPr>
          <w:b w:val="0"/>
          <w:i w:val="0"/>
          <w:color w:val="6B6462"/>
          <w:sz w:val="18"/>
        </w:rPr>
        <w:t>团队编号：b-2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b/>
          <w:i w:val="0"/>
          <w:color w:val="7F1D1D"/>
          <w:sz w:val="32"/>
        </w:rPr>
        <w:t>目录与阅读说明</w:t>
      </w:r>
    </w:p>
    <w:p>
      <w:pPr>
        <w:spacing w:after="120" w:line="300" w:lineRule="auto"/>
        <w:ind w:firstLine="420"/>
      </w:pPr>
      <w:r>
        <w:rPr>
          <w:b w:val="0"/>
          <w:i w:val="0"/>
          <w:color w:val="242124"/>
        </w:rPr>
        <w:t>本文档以“创意—功能—实现—演示—边界”为主线，帮助评审快速理解 StructPilot 解决的问题、实际可用的能力以及当前版本的工程边界。表格中的“已实现”以当前代码和运行界面为准；“需配置”表示能力已预留但依赖外部模型或服务；“边界”用于提示不能替代专业软件或实验判断的部分。</w:t>
      </w:r>
    </w:p>
    <w:p>
      <w:pPr>
        <w:pStyle w:val="ListNumber"/>
        <w:spacing w:after="60" w:line="276" w:lineRule="auto"/>
        <w:ind w:left="312"/>
      </w:pPr>
      <w:r>
        <w:rPr>
          <w:b w:val="0"/>
          <w:i w:val="0"/>
        </w:rPr>
        <w:t>01 作品概览：为什么需要一个 cryo-EM 流程导航系统</w:t>
      </w:r>
    </w:p>
    <w:p>
      <w:pPr>
        <w:pStyle w:val="ListNumber"/>
        <w:spacing w:after="60" w:line="276" w:lineRule="auto"/>
        <w:ind w:left="312"/>
      </w:pPr>
      <w:r>
        <w:rPr>
          <w:b w:val="0"/>
          <w:i w:val="0"/>
        </w:rPr>
        <w:t>02 创意说明：把隐性经验变成可追踪的工作流</w:t>
      </w:r>
    </w:p>
    <w:p>
      <w:pPr>
        <w:pStyle w:val="ListNumber"/>
        <w:spacing w:after="60" w:line="276" w:lineRule="auto"/>
        <w:ind w:left="312"/>
      </w:pPr>
      <w:r>
        <w:rPr>
          <w:b w:val="0"/>
          <w:i w:val="0"/>
        </w:rPr>
        <w:t>03 目标用户与应用场景</w:t>
      </w:r>
    </w:p>
    <w:p>
      <w:pPr>
        <w:pStyle w:val="ListNumber"/>
        <w:spacing w:after="60" w:line="276" w:lineRule="auto"/>
        <w:ind w:left="312"/>
      </w:pPr>
      <w:r>
        <w:rPr>
          <w:b w:val="0"/>
          <w:i w:val="0"/>
        </w:rPr>
        <w:t>04 目标功能与 12 个检查点</w:t>
      </w:r>
    </w:p>
    <w:p>
      <w:pPr>
        <w:pStyle w:val="ListNumber"/>
        <w:spacing w:after="60" w:line="276" w:lineRule="auto"/>
        <w:ind w:left="312"/>
      </w:pPr>
      <w:r>
        <w:rPr>
          <w:b w:val="0"/>
          <w:i w:val="0"/>
        </w:rPr>
        <w:t>05 三种交互模式：同一底座，不同认知负担</w:t>
      </w:r>
    </w:p>
    <w:p>
      <w:pPr>
        <w:pStyle w:val="ListNumber"/>
        <w:spacing w:after="60" w:line="276" w:lineRule="auto"/>
        <w:ind w:left="312"/>
      </w:pPr>
      <w:r>
        <w:rPr>
          <w:b w:val="0"/>
          <w:i w:val="0"/>
        </w:rPr>
        <w:t>06 技术架构与知识治理</w:t>
      </w:r>
    </w:p>
    <w:p>
      <w:pPr>
        <w:pStyle w:val="ListNumber"/>
        <w:spacing w:after="60" w:line="276" w:lineRule="auto"/>
        <w:ind w:left="312"/>
      </w:pPr>
      <w:r>
        <w:rPr>
          <w:b w:val="0"/>
          <w:i w:val="0"/>
        </w:rPr>
        <w:t>07 演示示例：从首次进入到参数工作流导出</w:t>
      </w:r>
    </w:p>
    <w:p>
      <w:pPr>
        <w:pStyle w:val="ListNumber"/>
        <w:spacing w:after="60" w:line="276" w:lineRule="auto"/>
        <w:ind w:left="312"/>
      </w:pPr>
      <w:r>
        <w:rPr>
          <w:b w:val="0"/>
          <w:i w:val="0"/>
        </w:rPr>
        <w:t>08 创新点、可靠性与隐私设计</w:t>
      </w:r>
    </w:p>
    <w:p>
      <w:pPr>
        <w:pStyle w:val="ListNumber"/>
        <w:spacing w:after="60" w:line="276" w:lineRule="auto"/>
        <w:ind w:left="312"/>
      </w:pPr>
      <w:r>
        <w:rPr>
          <w:b w:val="0"/>
          <w:i w:val="0"/>
        </w:rPr>
        <w:t>09 部署要求、当前边界与后续路线</w:t>
      </w:r>
    </w:p>
    <w:p>
      <w:pPr>
        <w:pStyle w:val="ListNumber"/>
        <w:spacing w:after="60" w:line="276" w:lineRule="auto"/>
        <w:ind w:left="312"/>
      </w:pPr>
      <w:r>
        <w:rPr>
          <w:b w:val="0"/>
          <w:i w:val="0"/>
        </w:rPr>
        <w:t>附录：功能核验表与建议演示脚本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524"/>
            <w:shd w:fill="F3F5F4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val="single" w:sz="18" w:color="2F6B54"/>
              <w:bottom w:val="nil"/>
              <w:right w:val="nil"/>
            </w:tcBorders>
          </w:tcPr>
          <w:p>
            <w:pPr>
              <w:spacing w:after="80"/>
            </w:pPr>
            <w:r>
              <w:rPr>
                <w:b/>
                <w:i w:val="0"/>
                <w:color w:val="2F6B54"/>
                <w:sz w:val="21"/>
              </w:rPr>
              <w:t>评审提示</w:t>
            </w:r>
          </w:p>
          <w:p>
            <w:pPr>
              <w:spacing w:after="0" w:line="276" w:lineRule="auto"/>
            </w:pPr>
            <w:r>
              <w:rPr>
                <w:b w:val="0"/>
                <w:i w:val="0"/>
                <w:color w:val="242124"/>
                <w:sz w:val="19"/>
              </w:rPr>
              <w:t>StructPilot 的价值不在于替代 cryoSPARC 或 RELION 的计算引擎，而在于降低流程认知成本、减少漏检与误设、沉淀团队经验，并让每一步的“为什么”和“下一步”变得可见。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00" w:after="100"/>
      </w:pPr>
      <w:r>
        <w:rPr>
          <w:b/>
          <w:i w:val="0"/>
          <w:color w:val="7F1D1D"/>
          <w:sz w:val="32"/>
        </w:rPr>
        <w:t>01 作品概览</w:t>
      </w:r>
    </w:p>
    <w:p>
      <w:pPr>
        <w:pStyle w:val="Heading2"/>
        <w:keepNext/>
        <w:spacing w:before="140" w:after="100"/>
      </w:pPr>
      <w:r>
        <w:rPr>
          <w:b/>
          <w:i w:val="0"/>
          <w:color w:val="A52A2A"/>
          <w:sz w:val="25"/>
        </w:rPr>
        <w:t>1.1 项目摘要</w:t>
      </w:r>
    </w:p>
    <w:p>
      <w:pPr>
        <w:spacing w:after="120" w:line="300" w:lineRule="auto"/>
        <w:ind w:firstLine="420"/>
      </w:pPr>
      <w:r>
        <w:rPr>
          <w:b w:val="0"/>
          <w:i w:val="0"/>
          <w:color w:val="242124"/>
        </w:rPr>
        <w:t>冷冻电镜单颗粒分析通常由多个软件、多个参数和多轮质量判断组成。对于初学者，真正的难点不是“点击哪个按钮”，而是理解当前阶段的输入输出、知道哪些参数必须与采集条件一致、能够识别质量问题并决定是否回退。StructPilot 将这些跨软件、跨阶段的知识组织为一套对话式导航系统，服务于 cryoSPARC 与 RELION 工作流。</w:t>
      </w:r>
    </w:p>
    <w:p>
      <w:pPr>
        <w:spacing w:after="120" w:line="300" w:lineRule="auto"/>
        <w:ind w:firstLine="420"/>
      </w:pPr>
      <w:r>
        <w:rPr>
          <w:b w:val="0"/>
          <w:i w:val="0"/>
          <w:color w:val="242124"/>
        </w:rPr>
        <w:t>当前版本以 Streamlit 提供 Web 界面，以 LangGraph 组织状态和路由，以本地 JSON/Markdown 知识库、规则库和 SQLite 会话存储作为可追踪底座。用户可以从当前检查点开始，查看 SOP、参数解释、QC 提醒、常见故障路径和可选的教学内容；在配置模型服务后，还可以启用文本改写、图像理解和语音转写等增强能力。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fill="7F1D1D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6" w:color="7F1D1D"/>
              <w:left w:val="single" w:sz="4" w:color="FFFFFF"/>
              <w:bottom w:val="single" w:sz="6" w:color="7F1D1D"/>
              <w:right w:val="single" w:sz="4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项目项</w:t>
            </w:r>
          </w:p>
        </w:tc>
        <w:tc>
          <w:tcPr>
            <w:tcW w:type="dxa" w:w="7087"/>
            <w:shd w:fill="7F1D1D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6" w:color="7F1D1D"/>
              <w:left w:val="single" w:sz="4" w:color="FFFFFF"/>
              <w:bottom w:val="single" w:sz="6" w:color="7F1D1D"/>
              <w:right w:val="single" w:sz="4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当前版本事实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作品名称</w:t>
            </w:r>
          </w:p>
        </w:tc>
        <w:tc>
          <w:tcPr>
            <w:tcW w:type="dxa" w:w="7087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StructPilot v6.0.0</w:t>
            </w:r>
          </w:p>
        </w:tc>
      </w:tr>
      <w:tr>
        <w:tc>
          <w:tcPr>
            <w:tcW w:type="dxa" w:w="2268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产品定位</w:t>
            </w:r>
          </w:p>
        </w:tc>
        <w:tc>
          <w:tcPr>
            <w:tcW w:type="dxa" w:w="7087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Cryo-EM 单颗粒分析流程导航与知识协作系统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界面形态</w:t>
            </w:r>
          </w:p>
        </w:tc>
        <w:tc>
          <w:tcPr>
            <w:tcW w:type="dxa" w:w="7087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本地 Streamlit Web UI</w:t>
            </w:r>
          </w:p>
        </w:tc>
      </w:tr>
      <w:tr>
        <w:tc>
          <w:tcPr>
            <w:tcW w:type="dxa" w:w="2268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支持平台</w:t>
            </w:r>
          </w:p>
        </w:tc>
        <w:tc>
          <w:tcPr>
            <w:tcW w:type="dxa" w:w="7087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cryoSPARC、RELION（以流程指导和知识导航为主）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流程结构</w:t>
            </w:r>
          </w:p>
        </w:tc>
        <w:tc>
          <w:tcPr>
            <w:tcW w:type="dxa" w:w="7087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12 个标准检查点，支持进行中、完成、跳过、失败等状态</w:t>
            </w:r>
          </w:p>
        </w:tc>
      </w:tr>
      <w:tr>
        <w:tc>
          <w:tcPr>
            <w:tcW w:type="dxa" w:w="2268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持久化</w:t>
            </w:r>
          </w:p>
        </w:tc>
        <w:tc>
          <w:tcPr>
            <w:tcW w:type="dxa" w:w="7087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SQLite 保存会话、消息和检查点记录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增强能力</w:t>
            </w:r>
          </w:p>
        </w:tc>
        <w:tc>
          <w:tcPr>
            <w:tcW w:type="dxa" w:w="7087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可选 LLM、Embedding、Vision、Speech 配置；未配置时保留规则与知识库模式</w:t>
            </w:r>
          </w:p>
        </w:tc>
      </w:tr>
      <w:tr>
        <w:tc>
          <w:tcPr>
            <w:tcW w:type="dxa" w:w="2268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输出</w:t>
            </w:r>
          </w:p>
        </w:tc>
        <w:tc>
          <w:tcPr>
            <w:tcW w:type="dxa" w:w="7087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报告/Markdown 下载；cryoSPARC Workflow JSON 导出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b/>
          <w:i w:val="0"/>
          <w:color w:val="A52A2A"/>
          <w:sz w:val="25"/>
        </w:rPr>
        <w:t>1.2 核心价值</w:t>
      </w:r>
    </w:p>
    <w:p>
      <w:pPr>
        <w:pStyle w:val="ListBullet"/>
        <w:spacing w:after="40" w:line="276" w:lineRule="auto"/>
        <w:ind w:left="312"/>
      </w:pPr>
      <w:r>
        <w:rPr>
          <w:b w:val="0"/>
          <w:i w:val="0"/>
        </w:rPr>
        <w:t>把从数据导入到模型验证的长流程拆成可见、可回溯的检查点。</w:t>
      </w:r>
    </w:p>
    <w:p>
      <w:pPr>
        <w:pStyle w:val="ListBullet"/>
        <w:spacing w:after="40" w:line="276" w:lineRule="auto"/>
        <w:ind w:left="312"/>
      </w:pPr>
      <w:r>
        <w:rPr>
          <w:b w:val="0"/>
          <w:i w:val="0"/>
        </w:rPr>
        <w:t>把参数推荐、质量控制和故障排查放在同一上下文中，减少在教程、聊天记录和软件界面之间来回切换。</w:t>
      </w:r>
    </w:p>
    <w:p>
      <w:pPr>
        <w:pStyle w:val="ListBullet"/>
        <w:spacing w:after="40" w:line="276" w:lineRule="auto"/>
        <w:ind w:left="312"/>
      </w:pPr>
      <w:r>
        <w:rPr>
          <w:b w:val="0"/>
          <w:i w:val="0"/>
        </w:rPr>
        <w:t>通过入门、教学、专家三种模式，让同一套底层知识适配不同经验水平。</w:t>
      </w:r>
    </w:p>
    <w:p>
      <w:pPr>
        <w:pStyle w:val="ListBullet"/>
        <w:spacing w:after="40" w:line="276" w:lineRule="auto"/>
        <w:ind w:left="312"/>
      </w:pPr>
      <w:r>
        <w:rPr>
          <w:b w:val="0"/>
          <w:i w:val="0"/>
        </w:rPr>
        <w:t>以本地规则和知识库为最低可用能力，外部模型作为增强而非单点依赖。</w:t>
      </w:r>
    </w:p>
    <w:p>
      <w:pPr>
        <w:spacing w:before="60" w:after="120"/>
      </w:pPr>
      <w:r>
        <w:rPr>
          <w:b/>
          <w:i w:val="0"/>
          <w:color w:val="6B6462"/>
          <w:sz w:val="17"/>
        </w:rPr>
        <w:t>资料依据：</w:t>
      </w:r>
      <w:r>
        <w:rPr>
          <w:b w:val="0"/>
          <w:i w:val="0"/>
          <w:color w:val="6B6462"/>
          <w:sz w:val="17"/>
        </w:rPr>
        <w:t>version.py、main.py、graph/、knowledge_base/、runtime/ 与当前运行界面核对。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b/>
          <w:i w:val="0"/>
          <w:color w:val="7F1D1D"/>
          <w:sz w:val="32"/>
        </w:rPr>
        <w:t>02 创意说明</w:t>
      </w:r>
    </w:p>
    <w:p>
      <w:pPr>
        <w:pStyle w:val="Heading2"/>
        <w:keepNext/>
        <w:spacing w:before="140" w:after="100"/>
      </w:pPr>
      <w:r>
        <w:rPr>
          <w:b/>
          <w:i w:val="0"/>
          <w:color w:val="A52A2A"/>
          <w:sz w:val="25"/>
        </w:rPr>
        <w:t>2.1 从“软件操作”转向“实验决策陪跑”</w:t>
      </w:r>
    </w:p>
    <w:p>
      <w:pPr>
        <w:spacing w:after="120" w:line="300" w:lineRule="auto"/>
        <w:ind w:firstLine="420"/>
      </w:pPr>
      <w:r>
        <w:rPr>
          <w:b w:val="0"/>
          <w:i w:val="0"/>
          <w:color w:val="242124"/>
        </w:rPr>
        <w:t>传统软件界面擅长执行计算，却不一定解释决策。用户面对一个参数时，往往同时需要回答三个问题：它在当前阶段解决什么问题？应该结合哪些采集条件或上游结果设置？运行后如何判断结果是否可信？StructPilot 的创意是把这三个问题固定为每个检查点的最小决策单元：做什么、为什么、怎么验。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524"/>
            <w:shd w:fill="F9E8E6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val="single" w:sz="18" w:color="A52A2A"/>
              <w:bottom w:val="nil"/>
              <w:right w:val="nil"/>
            </w:tcBorders>
          </w:tcPr>
          <w:p>
            <w:pPr>
              <w:spacing w:after="80"/>
            </w:pPr>
            <w:r>
              <w:rPr>
                <w:b/>
                <w:i w:val="0"/>
                <w:color w:val="A52A2A"/>
                <w:sz w:val="21"/>
              </w:rPr>
              <w:t>设计命题</w:t>
            </w:r>
          </w:p>
          <w:p>
            <w:pPr>
              <w:spacing w:after="0" w:line="276" w:lineRule="auto"/>
            </w:pPr>
            <w:r>
              <w:rPr>
                <w:b w:val="0"/>
                <w:i w:val="0"/>
                <w:color w:val="242124"/>
                <w:sz w:val="19"/>
              </w:rPr>
              <w:t>让流程状态成为对话的上下文，让知识条目成为回答的证据，让质量控制成为下一步行动的入口。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b/>
          <w:i w:val="0"/>
          <w:color w:val="A52A2A"/>
          <w:sz w:val="25"/>
        </w:rPr>
        <w:t>2.2 三个设计原则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7F1D1D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6" w:color="7F1D1D"/>
              <w:left w:val="single" w:sz="4" w:color="FFFFFF"/>
              <w:bottom w:val="single" w:sz="6" w:color="7F1D1D"/>
              <w:right w:val="single" w:sz="4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原则</w:t>
            </w:r>
          </w:p>
        </w:tc>
        <w:tc>
          <w:tcPr>
            <w:tcW w:type="dxa" w:w="4195"/>
            <w:shd w:fill="7F1D1D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6" w:color="7F1D1D"/>
              <w:left w:val="single" w:sz="4" w:color="FFFFFF"/>
              <w:bottom w:val="single" w:sz="6" w:color="7F1D1D"/>
              <w:right w:val="single" w:sz="4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在软件中的体现</w:t>
            </w:r>
          </w:p>
        </w:tc>
        <w:tc>
          <w:tcPr>
            <w:tcW w:type="dxa" w:w="3458"/>
            <w:shd w:fill="7F1D1D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6" w:color="7F1D1D"/>
              <w:left w:val="single" w:sz="4" w:color="FFFFFF"/>
              <w:bottom w:val="single" w:sz="6" w:color="7F1D1D"/>
              <w:right w:val="single" w:sz="4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评审可观察结果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过程可见</w:t>
            </w:r>
          </w:p>
        </w:tc>
        <w:tc>
          <w:tcPr>
            <w:tcW w:type="dxa" w:w="4195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12 个检查点 + 当前阶段 + 完成/失败/跳过状态</w:t>
            </w:r>
          </w:p>
        </w:tc>
        <w:tc>
          <w:tcPr>
            <w:tcW w:type="dxa" w:w="345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用户能知道自己在哪一步、下一步是什么</w:t>
            </w:r>
          </w:p>
        </w:tc>
      </w:tr>
      <w:tr>
        <w:tc>
          <w:tcPr>
            <w:tcW w:type="dxa" w:w="1701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证据优先</w:t>
            </w:r>
          </w:p>
        </w:tc>
        <w:tc>
          <w:tcPr>
            <w:tcW w:type="dxa" w:w="4195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结构化知识库、规则、QC 标准、来源和审查目录</w:t>
            </w:r>
          </w:p>
        </w:tc>
        <w:tc>
          <w:tcPr>
            <w:tcW w:type="dxa" w:w="3458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回答可回溯，模型输出不是唯一依据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渐进增强</w:t>
            </w:r>
          </w:p>
        </w:tc>
        <w:tc>
          <w:tcPr>
            <w:tcW w:type="dxa" w:w="4195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无 API 时走本地规则；配置后启用 LLM/RAG/Vision/Speech</w:t>
            </w:r>
          </w:p>
        </w:tc>
        <w:tc>
          <w:tcPr>
            <w:tcW w:type="dxa" w:w="345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核心流程不因外部服务不可用而整体失效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b/>
          <w:i w:val="0"/>
          <w:color w:val="A52A2A"/>
          <w:sz w:val="25"/>
        </w:rPr>
        <w:t>2.3 与普通聊天机器人的区别</w:t>
      </w:r>
    </w:p>
    <w:p>
      <w:pPr>
        <w:spacing w:after="120" w:line="300" w:lineRule="auto"/>
        <w:ind w:firstLine="420"/>
      </w:pPr>
      <w:r>
        <w:rPr>
          <w:b w:val="0"/>
          <w:i w:val="0"/>
          <w:color w:val="242124"/>
        </w:rPr>
        <w:t>StructPilot 不是把问题丢给一个通用聊天窗口，而是先识别当前软件、检查点、问题类型和流程状态，再调用对应的导航、专家、SOP、记忆或知识检索能力。对于“开始、完成、跳过、报错”等操作性输入，系统会更新检查点状态并留下记录；对于“参数怎么设、这一步是什么、为什么失败”等问题，则返回分层解释和下一步建议。</w:t>
      </w:r>
    </w:p>
    <w:p>
      <w:pPr>
        <w:spacing w:before="60" w:after="120"/>
      </w:pPr>
      <w:r>
        <w:rPr>
          <w:b/>
          <w:i w:val="0"/>
          <w:color w:val="6B6462"/>
          <w:sz w:val="17"/>
        </w:rPr>
        <w:t>资料依据：</w:t>
      </w:r>
      <w:r>
        <w:rPr>
          <w:b w:val="0"/>
          <w:i w:val="0"/>
          <w:color w:val="6B6462"/>
          <w:sz w:val="17"/>
        </w:rPr>
        <w:t>依据 graph/app.py、agents/、knowledge_base/flows/ 与 knowledge_base/rules/ 的当前实现整理。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b/>
          <w:i w:val="0"/>
          <w:color w:val="7F1D1D"/>
          <w:sz w:val="32"/>
        </w:rPr>
        <w:t>03 目标用户与应用场景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7F1D1D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6" w:color="7F1D1D"/>
              <w:left w:val="single" w:sz="4" w:color="FFFFFF"/>
              <w:bottom w:val="single" w:sz="6" w:color="7F1D1D"/>
              <w:right w:val="single" w:sz="4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用户</w:t>
            </w:r>
          </w:p>
        </w:tc>
        <w:tc>
          <w:tcPr>
            <w:tcW w:type="dxa" w:w="3402"/>
            <w:shd w:fill="7F1D1D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6" w:color="7F1D1D"/>
              <w:left w:val="single" w:sz="4" w:color="FFFFFF"/>
              <w:bottom w:val="single" w:sz="6" w:color="7F1D1D"/>
              <w:right w:val="single" w:sz="4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典型困难</w:t>
            </w:r>
          </w:p>
        </w:tc>
        <w:tc>
          <w:tcPr>
            <w:tcW w:type="dxa" w:w="4252"/>
            <w:shd w:fill="7F1D1D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6" w:color="7F1D1D"/>
              <w:left w:val="single" w:sz="4" w:color="FFFFFF"/>
              <w:bottom w:val="single" w:sz="6" w:color="7F1D1D"/>
              <w:right w:val="single" w:sz="4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StructPilot 提供的支持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冷冻电镜初学者</w:t>
            </w:r>
          </w:p>
        </w:tc>
        <w:tc>
          <w:tcPr>
            <w:tcW w:type="dxa" w:w="340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不熟悉流程顺序、术语和基本 QC</w:t>
            </w:r>
          </w:p>
        </w:tc>
        <w:tc>
          <w:tcPr>
            <w:tcW w:type="dxa" w:w="425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入门模式、分步 SOP、参数解释、教学卡片与测验</w:t>
            </w:r>
          </w:p>
        </w:tc>
      </w:tr>
      <w:tr>
        <w:tc>
          <w:tcPr>
            <w:tcW w:type="dxa" w:w="1701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实验室分析成员</w:t>
            </w:r>
          </w:p>
        </w:tc>
        <w:tc>
          <w:tcPr>
            <w:tcW w:type="dxa" w:w="3402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需要在多个项目间复用经验并保持流程一致</w:t>
            </w:r>
          </w:p>
        </w:tc>
        <w:tc>
          <w:tcPr>
            <w:tcW w:type="dxa" w:w="4252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会话持久化、检查点记录、报告下载、知识沉淀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有经验的研究者</w:t>
            </w:r>
          </w:p>
        </w:tc>
        <w:tc>
          <w:tcPr>
            <w:tcW w:type="dxa" w:w="340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希望快速核对参数边界、比较方案并导出配置</w:t>
            </w:r>
          </w:p>
        </w:tc>
        <w:tc>
          <w:tcPr>
            <w:tcW w:type="dxa" w:w="425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专家模式、规则检索、参数对照、cryoSPARC Workflow JSON</w:t>
            </w:r>
          </w:p>
        </w:tc>
      </w:tr>
      <w:tr>
        <w:tc>
          <w:tcPr>
            <w:tcW w:type="dxa" w:w="1701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知识库管理员</w:t>
            </w:r>
          </w:p>
        </w:tc>
        <w:tc>
          <w:tcPr>
            <w:tcW w:type="dxa" w:w="3402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SOP 和经验需要审核、分级和持续更新</w:t>
            </w:r>
          </w:p>
        </w:tc>
        <w:tc>
          <w:tcPr>
            <w:tcW w:type="dxa" w:w="4252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导入、审查、验证和 review 目录；角色区分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b/>
          <w:i w:val="0"/>
          <w:color w:val="A52A2A"/>
          <w:sz w:val="25"/>
        </w:rPr>
        <w:t>3.1 三类应用场景</w:t>
      </w:r>
    </w:p>
    <w:p>
      <w:pPr>
        <w:pStyle w:val="ListNumber"/>
        <w:spacing w:after="60" w:line="276" w:lineRule="auto"/>
        <w:ind w:left="312"/>
      </w:pPr>
      <w:r>
        <w:rPr>
          <w:b w:val="0"/>
          <w:i w:val="0"/>
        </w:rPr>
        <w:t>首次上手：选择 cryoSPARC 或 RELION，确定当前检查点，以入门模式按步骤完成操作并查看 QC 提醒。</w:t>
      </w:r>
    </w:p>
    <w:p>
      <w:pPr>
        <w:pStyle w:val="ListNumber"/>
        <w:spacing w:after="60" w:line="276" w:lineRule="auto"/>
        <w:ind w:left="312"/>
      </w:pPr>
      <w:r>
        <w:rPr>
          <w:b w:val="0"/>
          <w:i w:val="0"/>
        </w:rPr>
        <w:t>问题排查：上传 CTF、2D class、FSC 或 refinement 截图，结合文字描述定位可能原因；未配置 Vision 时仍可使用文字与规则库排查。</w:t>
      </w:r>
    </w:p>
    <w:p>
      <w:pPr>
        <w:pStyle w:val="ListNumber"/>
        <w:spacing w:after="60" w:line="276" w:lineRule="auto"/>
        <w:ind w:left="312"/>
      </w:pPr>
      <w:r>
        <w:rPr>
          <w:b w:val="0"/>
          <w:i w:val="0"/>
        </w:rPr>
        <w:t>团队复用：把一次会话中的参数、判断和结果导出为报告或工作流配置，作为后续实验的参考，而不是直接替代实验员审批。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524"/>
            <w:shd w:fill="FFF4E5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val="single" w:sz="18" w:color="8A5A00"/>
              <w:bottom w:val="nil"/>
              <w:right w:val="nil"/>
            </w:tcBorders>
          </w:tcPr>
          <w:p>
            <w:pPr>
              <w:spacing w:after="80"/>
            </w:pPr>
            <w:r>
              <w:rPr>
                <w:b/>
                <w:i w:val="0"/>
                <w:color w:val="8A5A00"/>
                <w:sz w:val="21"/>
              </w:rPr>
              <w:t>适用范围</w:t>
            </w:r>
          </w:p>
          <w:p>
            <w:pPr>
              <w:spacing w:after="0" w:line="276" w:lineRule="auto"/>
            </w:pPr>
            <w:r>
              <w:rPr>
                <w:b w:val="0"/>
                <w:i w:val="0"/>
                <w:color w:val="242124"/>
                <w:sz w:val="19"/>
              </w:rPr>
              <w:t>当前实现适合本地演示、个人研究和小团队流程协作；SQLite 本地存储不是面向大规模多用户生产环境的数据库方案。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00" w:after="100"/>
      </w:pPr>
      <w:r>
        <w:rPr>
          <w:b/>
          <w:i w:val="0"/>
          <w:color w:val="7F1D1D"/>
          <w:sz w:val="32"/>
        </w:rPr>
        <w:t>04 目标功能与 12 个检查点</w:t>
      </w:r>
    </w:p>
    <w:p>
      <w:pPr>
        <w:pStyle w:val="Heading2"/>
        <w:keepNext/>
        <w:spacing w:before="140" w:after="100"/>
      </w:pPr>
      <w:r>
        <w:rPr>
          <w:b/>
          <w:i w:val="0"/>
          <w:color w:val="A52A2A"/>
          <w:sz w:val="25"/>
        </w:rPr>
        <w:t>4.1 目标功能清单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7F1D1D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6" w:color="7F1D1D"/>
              <w:left w:val="single" w:sz="4" w:color="FFFFFF"/>
              <w:bottom w:val="single" w:sz="6" w:color="7F1D1D"/>
              <w:right w:val="single" w:sz="4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功能域</w:t>
            </w:r>
          </w:p>
        </w:tc>
        <w:tc>
          <w:tcPr>
            <w:tcW w:type="dxa" w:w="5556"/>
            <w:shd w:fill="7F1D1D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6" w:color="7F1D1D"/>
              <w:left w:val="single" w:sz="4" w:color="FFFFFF"/>
              <w:bottom w:val="single" w:sz="6" w:color="7F1D1D"/>
              <w:right w:val="single" w:sz="4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功能描述</w:t>
            </w:r>
          </w:p>
        </w:tc>
        <w:tc>
          <w:tcPr>
            <w:tcW w:type="dxa" w:w="2098"/>
            <w:shd w:fill="7F1D1D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6" w:color="7F1D1D"/>
              <w:left w:val="single" w:sz="4" w:color="FFFFFF"/>
              <w:bottom w:val="single" w:sz="6" w:color="7F1D1D"/>
              <w:right w:val="single" w:sz="4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实现状态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流程导航</w:t>
            </w:r>
          </w:p>
        </w:tc>
        <w:tc>
          <w:tcPr>
            <w:tcW w:type="dxa" w:w="555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选择软件体系、定位当前检查点、记录开始/完成/跳过/失败</w:t>
            </w:r>
          </w:p>
        </w:tc>
        <w:tc>
          <w:tcPr>
            <w:tcW w:type="dxa" w:w="209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已实现</w:t>
            </w:r>
          </w:p>
        </w:tc>
      </w:tr>
      <w:tr>
        <w:tc>
          <w:tcPr>
            <w:tcW w:type="dxa" w:w="1701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操作指导</w:t>
            </w:r>
          </w:p>
        </w:tc>
        <w:tc>
          <w:tcPr>
            <w:tcW w:type="dxa" w:w="5556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按阶段输出步骤、输入、输出、关键参数和常见陷阱</w:t>
            </w:r>
          </w:p>
        </w:tc>
        <w:tc>
          <w:tcPr>
            <w:tcW w:type="dxa" w:w="2098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已实现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质量控制</w:t>
            </w:r>
          </w:p>
        </w:tc>
        <w:tc>
          <w:tcPr>
            <w:tcW w:type="dxa" w:w="555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提供 QC 检查清单、风险提醒与回退建议</w:t>
            </w:r>
          </w:p>
        </w:tc>
        <w:tc>
          <w:tcPr>
            <w:tcW w:type="dxa" w:w="209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已实现（知识库/规则驱动）</w:t>
            </w:r>
          </w:p>
        </w:tc>
      </w:tr>
      <w:tr>
        <w:tc>
          <w:tcPr>
            <w:tcW w:type="dxa" w:w="1701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教学支持</w:t>
            </w:r>
          </w:p>
        </w:tc>
        <w:tc>
          <w:tcPr>
            <w:tcW w:type="dxa" w:w="5556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教学卡片、参数含义、常见问题与互动测验</w:t>
            </w:r>
          </w:p>
        </w:tc>
        <w:tc>
          <w:tcPr>
            <w:tcW w:type="dxa" w:w="2098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已实现（部分检查点有专门卡片）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专家工具</w:t>
            </w:r>
          </w:p>
        </w:tc>
        <w:tc>
          <w:tcPr>
            <w:tcW w:type="dxa" w:w="555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参数解释、实验室经验对照、预设管理、配置导出</w:t>
            </w:r>
          </w:p>
        </w:tc>
        <w:tc>
          <w:tcPr>
            <w:tcW w:type="dxa" w:w="209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已实现</w:t>
            </w:r>
          </w:p>
        </w:tc>
      </w:tr>
      <w:tr>
        <w:tc>
          <w:tcPr>
            <w:tcW w:type="dxa" w:w="1701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多模态输入</w:t>
            </w:r>
          </w:p>
        </w:tc>
        <w:tc>
          <w:tcPr>
            <w:tcW w:type="dxa" w:w="5556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文本、图片上传/粘贴、可选语音转写</w:t>
            </w:r>
          </w:p>
        </w:tc>
        <w:tc>
          <w:tcPr>
            <w:tcW w:type="dxa" w:w="2098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图片/文本已实现；语音需配置服务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知识治理</w:t>
            </w:r>
          </w:p>
        </w:tc>
        <w:tc>
          <w:tcPr>
            <w:tcW w:type="dxa" w:w="555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知识导入、索引、校验、审核目录和状态管理</w:t>
            </w:r>
          </w:p>
        </w:tc>
        <w:tc>
          <w:tcPr>
            <w:tcW w:type="dxa" w:w="209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已实现</w:t>
            </w:r>
          </w:p>
        </w:tc>
      </w:tr>
      <w:tr>
        <w:tc>
          <w:tcPr>
            <w:tcW w:type="dxa" w:w="1701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会话与报告</w:t>
            </w:r>
          </w:p>
        </w:tc>
        <w:tc>
          <w:tcPr>
            <w:tcW w:type="dxa" w:w="5556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SQLite 保存会话与消息，支持恢复、报告和 Markdown 下载</w:t>
            </w:r>
          </w:p>
        </w:tc>
        <w:tc>
          <w:tcPr>
            <w:tcW w:type="dxa" w:w="2098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已实现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工作流导出</w:t>
            </w:r>
          </w:p>
        </w:tc>
        <w:tc>
          <w:tcPr>
            <w:tcW w:type="dxa" w:w="555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生成 cryoSPARC 可导入的 Workflow JSON</w:t>
            </w:r>
          </w:p>
        </w:tc>
        <w:tc>
          <w:tcPr>
            <w:tcW w:type="dxa" w:w="209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已实现；不自动提交作业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b/>
          <w:i w:val="0"/>
          <w:color w:val="A52A2A"/>
          <w:sz w:val="25"/>
        </w:rPr>
        <w:t>4.2 标准分析链路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680"/>
            <w:shd w:fill="7F1D1D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6" w:color="7F1D1D"/>
              <w:left w:val="single" w:sz="4" w:color="FFFFFF"/>
              <w:bottom w:val="single" w:sz="6" w:color="7F1D1D"/>
              <w:right w:val="single" w:sz="4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2438"/>
            <w:shd w:fill="7F1D1D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6" w:color="7F1D1D"/>
              <w:left w:val="single" w:sz="4" w:color="FFFFFF"/>
              <w:bottom w:val="single" w:sz="6" w:color="7F1D1D"/>
              <w:right w:val="single" w:sz="4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检查点</w:t>
            </w:r>
          </w:p>
        </w:tc>
        <w:tc>
          <w:tcPr>
            <w:tcW w:type="dxa" w:w="6236"/>
            <w:shd w:fill="7F1D1D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6" w:color="7F1D1D"/>
              <w:left w:val="single" w:sz="4" w:color="FFFFFF"/>
              <w:bottom w:val="single" w:sz="6" w:color="7F1D1D"/>
              <w:right w:val="single" w:sz="4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阶段目标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01</w:t>
            </w:r>
          </w:p>
        </w:tc>
        <w:tc>
          <w:tcPr>
            <w:tcW w:type="dxa" w:w="243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数据导入</w:t>
            </w:r>
          </w:p>
        </w:tc>
        <w:tc>
          <w:tcPr>
            <w:tcW w:type="dxa" w:w="623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导入 movies/micrographs，核对 pixel size、电压、Cs、总剂量</w:t>
            </w:r>
          </w:p>
        </w:tc>
      </w:tr>
      <w:tr>
        <w:tc>
          <w:tcPr>
            <w:tcW w:type="dxa" w:w="680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02</w:t>
            </w:r>
          </w:p>
        </w:tc>
        <w:tc>
          <w:tcPr>
            <w:tcW w:type="dxa" w:w="2438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运动校正</w:t>
            </w:r>
          </w:p>
        </w:tc>
        <w:tc>
          <w:tcPr>
            <w:tcW w:type="dxa" w:w="6236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校正帧间漂移，检查 drift 曲线和输出路径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03</w:t>
            </w:r>
          </w:p>
        </w:tc>
        <w:tc>
          <w:tcPr>
            <w:tcW w:type="dxa" w:w="243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CTF 估计与曝光筛选</w:t>
            </w:r>
          </w:p>
        </w:tc>
        <w:tc>
          <w:tcPr>
            <w:tcW w:type="dxa" w:w="623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估计 CTF，剔除冰层、污染和拟合质量差的曝光</w:t>
            </w:r>
          </w:p>
        </w:tc>
      </w:tr>
      <w:tr>
        <w:tc>
          <w:tcPr>
            <w:tcW w:type="dxa" w:w="680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04</w:t>
            </w:r>
          </w:p>
        </w:tc>
        <w:tc>
          <w:tcPr>
            <w:tcW w:type="dxa" w:w="2438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颗粒挑选</w:t>
            </w:r>
          </w:p>
        </w:tc>
        <w:tc>
          <w:tcPr>
            <w:tcW w:type="dxa" w:w="6236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在 Blob、Topaz、Template 等方法间选择并检查 picks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05</w:t>
            </w:r>
          </w:p>
        </w:tc>
        <w:tc>
          <w:tcPr>
            <w:tcW w:type="dxa" w:w="243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颗粒提取</w:t>
            </w:r>
          </w:p>
        </w:tc>
        <w:tc>
          <w:tcPr>
            <w:tcW w:type="dxa" w:w="623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确定 box size、Fourier crop 与粒子数量，生成提取集</w:t>
            </w:r>
          </w:p>
        </w:tc>
      </w:tr>
      <w:tr>
        <w:tc>
          <w:tcPr>
            <w:tcW w:type="dxa" w:w="680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06</w:t>
            </w:r>
          </w:p>
        </w:tc>
        <w:tc>
          <w:tcPr>
            <w:tcW w:type="dxa" w:w="2438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2D 分类与筛选</w:t>
            </w:r>
          </w:p>
        </w:tc>
        <w:tc>
          <w:tcPr>
            <w:tcW w:type="dxa" w:w="6236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通过 class averages 识别清晰类并筛选粒子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07</w:t>
            </w:r>
          </w:p>
        </w:tc>
        <w:tc>
          <w:tcPr>
            <w:tcW w:type="dxa" w:w="243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Ab-initio 初始模型</w:t>
            </w:r>
          </w:p>
        </w:tc>
        <w:tc>
          <w:tcPr>
            <w:tcW w:type="dxa" w:w="623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从 2D 粒子反推一个或多个初始 3D 模型</w:t>
            </w:r>
          </w:p>
        </w:tc>
      </w:tr>
      <w:tr>
        <w:tc>
          <w:tcPr>
            <w:tcW w:type="dxa" w:w="680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08</w:t>
            </w:r>
          </w:p>
        </w:tc>
        <w:tc>
          <w:tcPr>
            <w:tcW w:type="dxa" w:w="2438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3D 分类/异质精修</w:t>
            </w:r>
          </w:p>
        </w:tc>
        <w:tc>
          <w:tcPr>
            <w:tcW w:type="dxa" w:w="6236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区分混合构象或不同组分，比较各 class 质量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09</w:t>
            </w:r>
          </w:p>
        </w:tc>
        <w:tc>
          <w:tcPr>
            <w:tcW w:type="dxa" w:w="243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3D 精修</w:t>
            </w:r>
          </w:p>
        </w:tc>
        <w:tc>
          <w:tcPr>
            <w:tcW w:type="dxa" w:w="623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执行 homogeneous 与 non-uniform refinement，查看 FSC</w:t>
            </w:r>
          </w:p>
        </w:tc>
      </w:tr>
      <w:tr>
        <w:tc>
          <w:tcPr>
            <w:tcW w:type="dxa" w:w="680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10</w:t>
            </w:r>
          </w:p>
        </w:tc>
        <w:tc>
          <w:tcPr>
            <w:tcW w:type="dxa" w:w="2438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CTF 精修</w:t>
            </w:r>
          </w:p>
        </w:tc>
        <w:tc>
          <w:tcPr>
            <w:tcW w:type="dxa" w:w="6236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全局与局部修正 beam tilt、像散和逐粒子 defocus 等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11</w:t>
            </w:r>
          </w:p>
        </w:tc>
        <w:tc>
          <w:tcPr>
            <w:tcW w:type="dxa" w:w="243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后处理与锐化</w:t>
            </w:r>
          </w:p>
        </w:tc>
        <w:tc>
          <w:tcPr>
            <w:tcW w:type="dxa" w:w="623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依据 half maps、mask 和 FSC 生成最终密度图</w:t>
            </w:r>
          </w:p>
        </w:tc>
      </w:tr>
      <w:tr>
        <w:tc>
          <w:tcPr>
            <w:tcW w:type="dxa" w:w="680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12</w:t>
            </w:r>
          </w:p>
        </w:tc>
        <w:tc>
          <w:tcPr>
            <w:tcW w:type="dxa" w:w="2438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模型构建与验证</w:t>
            </w:r>
          </w:p>
        </w:tc>
        <w:tc>
          <w:tcPr>
            <w:tcW w:type="dxa" w:w="6236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在 Coot/Phenix/ChimeraX 等外部工具中建模与验证</w:t>
            </w:r>
          </w:p>
        </w:tc>
      </w:tr>
    </w:tbl>
    <w:p>
      <w:pPr>
        <w:spacing w:after="20"/>
      </w:pPr>
    </w:p>
    <w:p>
      <w:pPr>
        <w:spacing w:before="60" w:after="120"/>
      </w:pPr>
      <w:r>
        <w:rPr>
          <w:b/>
          <w:i w:val="0"/>
          <w:color w:val="6B6462"/>
          <w:sz w:val="17"/>
        </w:rPr>
        <w:t>资料依据：</w:t>
      </w:r>
      <w:r>
        <w:rPr>
          <w:b w:val="0"/>
          <w:i w:val="0"/>
          <w:color w:val="6B6462"/>
          <w:sz w:val="17"/>
        </w:rPr>
        <w:t>12 个检查点名称和顺序来自 knowledge_base/flows/pipeline_checkpoints.json；各软件具体参数需结合样品、采集条件和当前版本界面复核。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b/>
          <w:i w:val="0"/>
          <w:color w:val="7F1D1D"/>
          <w:sz w:val="32"/>
        </w:rPr>
        <w:t>05 三种交互模式</w:t>
      </w:r>
    </w:p>
    <w:p>
      <w:pPr>
        <w:spacing w:after="120" w:line="300" w:lineRule="auto"/>
        <w:ind w:firstLine="420"/>
      </w:pPr>
      <w:r>
        <w:rPr>
          <w:b w:val="0"/>
          <w:i w:val="0"/>
          <w:color w:val="242124"/>
        </w:rPr>
        <w:t>三种模式共享同一套底层流程状态、知识库和编排逻辑，区别主要在信息密度和交互节奏。这样既不牺牲系统一致性，也避免初学者被专家参数淹没。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14"/>
            <w:shd w:fill="7F1D1D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6" w:color="7F1D1D"/>
              <w:left w:val="single" w:sz="4" w:color="FFFFFF"/>
              <w:bottom w:val="single" w:sz="6" w:color="7F1D1D"/>
              <w:right w:val="single" w:sz="4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模式</w:t>
            </w:r>
          </w:p>
        </w:tc>
        <w:tc>
          <w:tcPr>
            <w:tcW w:type="dxa" w:w="2268"/>
            <w:shd w:fill="7F1D1D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6" w:color="7F1D1D"/>
              <w:left w:val="single" w:sz="4" w:color="FFFFFF"/>
              <w:bottom w:val="single" w:sz="6" w:color="7F1D1D"/>
              <w:right w:val="single" w:sz="4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面向人群</w:t>
            </w:r>
          </w:p>
        </w:tc>
        <w:tc>
          <w:tcPr>
            <w:tcW w:type="dxa" w:w="3515"/>
            <w:shd w:fill="7F1D1D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6" w:color="7F1D1D"/>
              <w:left w:val="single" w:sz="4" w:color="FFFFFF"/>
              <w:bottom w:val="single" w:sz="6" w:color="7F1D1D"/>
              <w:right w:val="single" w:sz="4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界面与交互</w:t>
            </w:r>
          </w:p>
        </w:tc>
        <w:tc>
          <w:tcPr>
            <w:tcW w:type="dxa" w:w="1757"/>
            <w:shd w:fill="7F1D1D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6" w:color="7F1D1D"/>
              <w:left w:val="single" w:sz="4" w:color="FFFFFF"/>
              <w:bottom w:val="single" w:sz="6" w:color="7F1D1D"/>
              <w:right w:val="single" w:sz="4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适合任务</w:t>
            </w:r>
          </w:p>
        </w:tc>
      </w:tr>
      <w:tr>
        <w:tc>
          <w:tcPr>
            <w:tcW w:type="dxa" w:w="181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入门 / 快速模式</w:t>
            </w:r>
          </w:p>
        </w:tc>
        <w:tc>
          <w:tcPr>
            <w:tcW w:type="dxa" w:w="22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首次使用者、需要按步骤操作的人</w:t>
            </w:r>
          </w:p>
        </w:tc>
        <w:tc>
          <w:tcPr>
            <w:tcW w:type="dxa" w:w="3515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突出当前步骤、操作指令、关键参数和质量检查；减少一次性信息量</w:t>
            </w:r>
          </w:p>
        </w:tc>
        <w:tc>
          <w:tcPr>
            <w:tcW w:type="dxa" w:w="1757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按 SOP 完成一个检查点</w:t>
            </w:r>
          </w:p>
        </w:tc>
      </w:tr>
      <w:tr>
        <w:tc>
          <w:tcPr>
            <w:tcW w:type="dxa" w:w="1814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教学模式</w:t>
            </w:r>
          </w:p>
        </w:tc>
        <w:tc>
          <w:tcPr>
            <w:tcW w:type="dxa" w:w="2268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希望理解原理的学习者</w:t>
            </w:r>
          </w:p>
        </w:tc>
        <w:tc>
          <w:tcPr>
            <w:tcW w:type="dxa" w:w="3515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教学卡片解释“做什么、参数含义、常见问题、判断标准”，配合测验</w:t>
            </w:r>
          </w:p>
        </w:tc>
        <w:tc>
          <w:tcPr>
            <w:tcW w:type="dxa" w:w="1757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理解 2D、CTF、精修等关键概念</w:t>
            </w:r>
          </w:p>
        </w:tc>
      </w:tr>
      <w:tr>
        <w:tc>
          <w:tcPr>
            <w:tcW w:type="dxa" w:w="181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专家模式</w:t>
            </w:r>
          </w:p>
        </w:tc>
        <w:tc>
          <w:tcPr>
            <w:tcW w:type="dxa" w:w="22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有经验的研究者、项目负责人</w:t>
            </w:r>
          </w:p>
        </w:tc>
        <w:tc>
          <w:tcPr>
            <w:tcW w:type="dxa" w:w="3515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保留高信息密度工作区，支持参数、规则、经验和导出工具</w:t>
            </w:r>
          </w:p>
        </w:tc>
        <w:tc>
          <w:tcPr>
            <w:tcW w:type="dxa" w:w="1757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核对参数、比较方案、复用预设、导出工作流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b/>
          <w:i w:val="0"/>
          <w:color w:val="A52A2A"/>
          <w:sz w:val="25"/>
        </w:rPr>
        <w:t>5.1 界面证据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eginn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b w:val="0"/>
          <w:i/>
          <w:color w:val="6B6462"/>
          <w:sz w:val="17"/>
        </w:rPr>
        <w:t>图 1  入门模式视觉示意：把当前步骤、操作指令和 QC 反馈放在同一视野。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each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b w:val="0"/>
          <w:i/>
          <w:color w:val="6B6462"/>
          <w:sz w:val="17"/>
        </w:rPr>
        <w:t>图 2  教学模式视觉示意：通过卡片和测验解释关键概念。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xpe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b w:val="0"/>
          <w:i/>
          <w:color w:val="6B6462"/>
          <w:sz w:val="17"/>
        </w:rPr>
        <w:t>图 3  专家模式视觉示意：支持参数、经验和工作流导出。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b/>
          <w:i w:val="0"/>
          <w:color w:val="7F1D1D"/>
          <w:sz w:val="32"/>
        </w:rPr>
        <w:t>06 技术架构与知识治理</w:t>
      </w:r>
    </w:p>
    <w:p>
      <w:pPr>
        <w:pStyle w:val="Heading2"/>
        <w:keepNext/>
        <w:spacing w:before="140" w:after="100"/>
      </w:pPr>
      <w:r>
        <w:rPr>
          <w:b/>
          <w:i w:val="0"/>
          <w:color w:val="A52A2A"/>
          <w:sz w:val="25"/>
        </w:rPr>
        <w:t>6.1 分层架构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7F1D1D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6" w:color="7F1D1D"/>
              <w:left w:val="single" w:sz="4" w:color="FFFFFF"/>
              <w:bottom w:val="single" w:sz="6" w:color="7F1D1D"/>
              <w:right w:val="single" w:sz="4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层级</w:t>
            </w:r>
          </w:p>
        </w:tc>
        <w:tc>
          <w:tcPr>
            <w:tcW w:type="dxa" w:w="3402"/>
            <w:shd w:fill="7F1D1D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6" w:color="7F1D1D"/>
              <w:left w:val="single" w:sz="4" w:color="FFFFFF"/>
              <w:bottom w:val="single" w:sz="6" w:color="7F1D1D"/>
              <w:right w:val="single" w:sz="4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主要组件</w:t>
            </w:r>
          </w:p>
        </w:tc>
        <w:tc>
          <w:tcPr>
            <w:tcW w:type="dxa" w:w="4252"/>
            <w:shd w:fill="7F1D1D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6" w:color="7F1D1D"/>
              <w:left w:val="single" w:sz="4" w:color="FFFFFF"/>
              <w:bottom w:val="single" w:sz="6" w:color="7F1D1D"/>
              <w:right w:val="single" w:sz="4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责任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界面层</w:t>
            </w:r>
          </w:p>
        </w:tc>
        <w:tc>
          <w:tcPr>
            <w:tcW w:type="dxa" w:w="340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Streamlit Web UI、模式视图、上传与下载组件</w:t>
            </w:r>
          </w:p>
        </w:tc>
        <w:tc>
          <w:tcPr>
            <w:tcW w:type="dxa" w:w="425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承载对话、检查点、报告和模式切换</w:t>
            </w:r>
          </w:p>
        </w:tc>
      </w:tr>
      <w:tr>
        <w:tc>
          <w:tcPr>
            <w:tcW w:type="dxa" w:w="1701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编排层</w:t>
            </w:r>
          </w:p>
        </w:tc>
        <w:tc>
          <w:tcPr>
            <w:tcW w:type="dxa" w:w="3402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LangGraph、StructPilotApp、路由与状态机</w:t>
            </w:r>
          </w:p>
        </w:tc>
        <w:tc>
          <w:tcPr>
            <w:tcW w:type="dxa" w:w="4252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把输入路由到合适的能力，并维护流程状态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智能能力层</w:t>
            </w:r>
          </w:p>
        </w:tc>
        <w:tc>
          <w:tcPr>
            <w:tcW w:type="dxa" w:w="340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Navigator、Expert、SOP、Memory、QA/绘图相关能力</w:t>
            </w:r>
          </w:p>
        </w:tc>
        <w:tc>
          <w:tcPr>
            <w:tcW w:type="dxa" w:w="425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提供导航、参数解释、步骤输出、记忆和辅助分析</w:t>
            </w:r>
          </w:p>
        </w:tc>
      </w:tr>
      <w:tr>
        <w:tc>
          <w:tcPr>
            <w:tcW w:type="dxa" w:w="1701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知识层</w:t>
            </w:r>
          </w:p>
        </w:tc>
        <w:tc>
          <w:tcPr>
            <w:tcW w:type="dxa" w:w="3402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流程 JSON、规则、SOP、故障库、教学卡片、审查目录</w:t>
            </w:r>
          </w:p>
        </w:tc>
        <w:tc>
          <w:tcPr>
            <w:tcW w:type="dxa" w:w="4252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提供结构化证据、检索和可更新内容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持久化层</w:t>
            </w:r>
          </w:p>
        </w:tc>
        <w:tc>
          <w:tcPr>
            <w:tcW w:type="dxa" w:w="340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SQLite、缓存与运行目录</w:t>
            </w:r>
          </w:p>
        </w:tc>
        <w:tc>
          <w:tcPr>
            <w:tcW w:type="dxa" w:w="425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保存会话、消息、检查点记录和部分中间结果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b/>
          <w:i w:val="0"/>
          <w:color w:val="A52A2A"/>
          <w:sz w:val="25"/>
        </w:rPr>
        <w:t>6.2 单次问答的处理路径</w:t>
      </w:r>
    </w:p>
    <w:p>
      <w:pPr>
        <w:pStyle w:val="ListNumber"/>
        <w:spacing w:after="60" w:line="276" w:lineRule="auto"/>
        <w:ind w:left="312"/>
      </w:pPr>
      <w:r>
        <w:rPr>
          <w:b w:val="0"/>
          <w:i w:val="0"/>
        </w:rPr>
        <w:t>界面接收文本、图片或音频输入，并记录当前软件与检查点。</w:t>
      </w:r>
    </w:p>
    <w:p>
      <w:pPr>
        <w:pStyle w:val="ListNumber"/>
        <w:spacing w:after="60" w:line="276" w:lineRule="auto"/>
        <w:ind w:left="312"/>
      </w:pPr>
      <w:r>
        <w:rPr>
          <w:b w:val="0"/>
          <w:i w:val="0"/>
        </w:rPr>
        <w:t>Navigator 识别意图：概念、参数、故障、进度或通用问答。</w:t>
      </w:r>
    </w:p>
    <w:p>
      <w:pPr>
        <w:pStyle w:val="ListNumber"/>
        <w:spacing w:after="60" w:line="276" w:lineRule="auto"/>
        <w:ind w:left="312"/>
      </w:pPr>
      <w:r>
        <w:rPr>
          <w:b w:val="0"/>
          <w:i w:val="0"/>
        </w:rPr>
        <w:t>规则与知识库先给出结构化结论；必要时检索相关条目。</w:t>
      </w:r>
    </w:p>
    <w:p>
      <w:pPr>
        <w:pStyle w:val="ListNumber"/>
        <w:spacing w:after="60" w:line="276" w:lineRule="auto"/>
        <w:ind w:left="312"/>
      </w:pPr>
      <w:r>
        <w:rPr>
          <w:b w:val="0"/>
          <w:i w:val="0"/>
        </w:rPr>
        <w:t>若配置 LLM/Vision/Speech，则在结构化结论之上进行语言改写、图像理解或转写。</w:t>
      </w:r>
    </w:p>
    <w:p>
      <w:pPr>
        <w:pStyle w:val="ListNumber"/>
        <w:spacing w:after="60" w:line="276" w:lineRule="auto"/>
        <w:ind w:left="312"/>
      </w:pPr>
      <w:r>
        <w:rPr>
          <w:b w:val="0"/>
          <w:i w:val="0"/>
        </w:rPr>
        <w:t>Memory 将消息与状态写入 SQLite，界面返回可执行的下一步和 QC 提醒。</w:t>
      </w:r>
    </w:p>
    <w:p>
      <w:pPr>
        <w:pStyle w:val="Heading2"/>
        <w:keepNext/>
        <w:spacing w:before="140" w:after="100"/>
      </w:pPr>
      <w:r>
        <w:rPr>
          <w:b/>
          <w:i w:val="0"/>
          <w:color w:val="A52A2A"/>
          <w:sz w:val="25"/>
        </w:rPr>
        <w:t>6.3 知识治理闭环</w:t>
      </w:r>
    </w:p>
    <w:p>
      <w:pPr>
        <w:spacing w:after="120" w:line="300" w:lineRule="auto"/>
        <w:ind w:firstLine="420"/>
      </w:pPr>
      <w:r>
        <w:rPr>
          <w:b w:val="0"/>
          <w:i w:val="0"/>
          <w:color w:val="242124"/>
        </w:rPr>
        <w:t>知识不是一次性写入的静态附件。当前仓库包含导入、索引、校验、review、正式答案、待审核和废弃条目等目录或文件，支持把实验室 SOP、官方文档和经过审查的经验分层管理。系统的基本策略是：结构化规则负责确定性结论，知识条目提供背景与证据，外部模型只负责在可控上下文中增强表达。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524"/>
            <w:shd w:fill="F3F5F4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val="single" w:sz="18" w:color="2F6B54"/>
              <w:bottom w:val="nil"/>
              <w:right w:val="nil"/>
            </w:tcBorders>
          </w:tcPr>
          <w:p>
            <w:pPr>
              <w:spacing w:after="80"/>
            </w:pPr>
            <w:r>
              <w:rPr>
                <w:b/>
                <w:i w:val="0"/>
                <w:color w:val="2F6B54"/>
                <w:sz w:val="21"/>
              </w:rPr>
              <w:t>可靠性原则</w:t>
            </w:r>
          </w:p>
          <w:p>
            <w:pPr>
              <w:spacing w:after="0" w:line="276" w:lineRule="auto"/>
            </w:pPr>
            <w:r>
              <w:rPr>
                <w:b w:val="0"/>
                <w:i w:val="0"/>
                <w:color w:val="242124"/>
                <w:sz w:val="19"/>
              </w:rPr>
              <w:t>当 Embedding、LLM、Vision 或 Speech 未配置、不可用或调用失败时，系统仍可使用本地规则、流程卡片和知识库完成基础导航；但模型增强相关能力应明确标注为“需配置”。</w:t>
            </w:r>
          </w:p>
        </w:tc>
      </w:tr>
    </w:tbl>
    <w:p>
      <w:pPr>
        <w:spacing w:after="20"/>
      </w:pPr>
    </w:p>
    <w:p>
      <w:pPr>
        <w:spacing w:before="60" w:after="120"/>
      </w:pPr>
      <w:r>
        <w:rPr>
          <w:b/>
          <w:i w:val="0"/>
          <w:color w:val="6B6462"/>
          <w:sz w:val="17"/>
        </w:rPr>
        <w:t>资料依据：</w:t>
      </w:r>
      <w:r>
        <w:rPr>
          <w:b w:val="0"/>
          <w:i w:val="0"/>
          <w:color w:val="6B6462"/>
          <w:sz w:val="17"/>
        </w:rPr>
        <w:t>依据 graph/、agents/、knowledge_base/review/、knowledge_base/rules/ 和 runtime/ 的当前目录结构与实现。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b/>
          <w:i w:val="0"/>
          <w:color w:val="7F1D1D"/>
          <w:sz w:val="32"/>
        </w:rPr>
        <w:t>07 演示示例</w:t>
      </w:r>
    </w:p>
    <w:p>
      <w:pPr>
        <w:pStyle w:val="Heading2"/>
        <w:keepNext/>
        <w:spacing w:before="140" w:after="100"/>
      </w:pPr>
      <w:r>
        <w:rPr>
          <w:b/>
          <w:i w:val="0"/>
          <w:color w:val="A52A2A"/>
          <w:sz w:val="25"/>
        </w:rPr>
        <w:t>7.1 示例 A：首次进入与流程规划</w:t>
      </w:r>
    </w:p>
    <w:p>
      <w:pPr>
        <w:spacing w:after="120" w:line="300" w:lineRule="auto"/>
        <w:ind w:firstLine="420"/>
      </w:pPr>
      <w:r>
        <w:rPr>
          <w:b w:val="0"/>
          <w:i w:val="0"/>
          <w:color w:val="242124"/>
        </w:rPr>
        <w:t>演示目标：展示系统如何从“选择软件—选择模式—进入检查点”建立上下文，而不是直接给出一段脱离阶段的答案。</w:t>
      </w:r>
    </w:p>
    <w:p>
      <w:pPr>
        <w:pStyle w:val="ListNumber"/>
        <w:spacing w:after="60" w:line="276" w:lineRule="auto"/>
        <w:ind w:left="312"/>
      </w:pPr>
      <w:r>
        <w:rPr>
          <w:b w:val="0"/>
          <w:i w:val="0"/>
        </w:rPr>
        <w:t>打开本地 Web UI，选择 cryoSPARC 或 RELION。</w:t>
      </w:r>
    </w:p>
    <w:p>
      <w:pPr>
        <w:pStyle w:val="ListNumber"/>
        <w:spacing w:after="60" w:line="276" w:lineRule="auto"/>
        <w:ind w:left="312"/>
      </w:pPr>
      <w:r>
        <w:rPr>
          <w:b w:val="0"/>
          <w:i w:val="0"/>
        </w:rPr>
        <w:t>选择入门/快速、教学或专家模式；系统保留同一流程状态。</w:t>
      </w:r>
    </w:p>
    <w:p>
      <w:pPr>
        <w:pStyle w:val="ListNumber"/>
        <w:spacing w:after="60" w:line="276" w:lineRule="auto"/>
        <w:ind w:left="312"/>
      </w:pPr>
      <w:r>
        <w:rPr>
          <w:b w:val="0"/>
          <w:i w:val="0"/>
        </w:rPr>
        <w:t>在当前检查点查看阶段目标、输入、操作步骤、关键参数与 QC 清单。</w:t>
      </w:r>
    </w:p>
    <w:p>
      <w:pPr>
        <w:pStyle w:val="ListNumber"/>
        <w:spacing w:after="60" w:line="276" w:lineRule="auto"/>
        <w:ind w:left="312"/>
      </w:pPr>
      <w:r>
        <w:rPr>
          <w:b w:val="0"/>
          <w:i w:val="0"/>
        </w:rPr>
        <w:t>输入“开始”“完成”“跳过”或“有报错”，检查点状态随之更新，并写入会话记录。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43660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ive_ho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366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b w:val="0"/>
          <w:i/>
          <w:color w:val="6B6462"/>
          <w:sz w:val="17"/>
        </w:rPr>
        <w:t>图 4  真实运行界面：当前位于“步骤 3 · CTF 估计与照片筛选”，可选择快速模式或智能模式进入后续引导。</w:t>
      </w:r>
    </w:p>
    <w:p>
      <w:pPr>
        <w:pStyle w:val="Heading2"/>
        <w:keepNext/>
        <w:spacing w:before="140" w:after="100"/>
      </w:pPr>
      <w:r>
        <w:rPr>
          <w:b/>
          <w:i w:val="0"/>
          <w:color w:val="A52A2A"/>
          <w:sz w:val="25"/>
        </w:rPr>
        <w:t>7.2 示例 B：CTF 估计与曝光筛选的决策支持</w:t>
      </w:r>
    </w:p>
    <w:p>
      <w:pPr>
        <w:spacing w:after="120" w:line="300" w:lineRule="auto"/>
        <w:ind w:firstLine="420"/>
      </w:pPr>
      <w:r>
        <w:rPr>
          <w:b w:val="0"/>
          <w:i w:val="0"/>
          <w:color w:val="242124"/>
        </w:rPr>
        <w:t>用户可以问：“CTF fit 质量差时先检查什么？”系统会把问题绑定到当前检查点，给出顺序化排查：确认输入是否为运动校正后的 micrographs，检查 defocus 搜索范围与 amplitude contrast，查看 CTF fit 与冰层/污染情况，并提醒进行 Manual Curate。该回答是指导和检查清单，不会替用户直接修改 cryoSPARC/RELION 作业。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835"/>
            <w:shd w:fill="7F1D1D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6" w:color="7F1D1D"/>
              <w:left w:val="single" w:sz="4" w:color="FFFFFF"/>
              <w:bottom w:val="single" w:sz="6" w:color="7F1D1D"/>
              <w:right w:val="single" w:sz="4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输入</w:t>
            </w:r>
          </w:p>
        </w:tc>
        <w:tc>
          <w:tcPr>
            <w:tcW w:type="dxa" w:w="3685"/>
            <w:shd w:fill="7F1D1D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6" w:color="7F1D1D"/>
              <w:left w:val="single" w:sz="4" w:color="FFFFFF"/>
              <w:bottom w:val="single" w:sz="6" w:color="7F1D1D"/>
              <w:right w:val="single" w:sz="4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系统响应</w:t>
            </w:r>
          </w:p>
        </w:tc>
        <w:tc>
          <w:tcPr>
            <w:tcW w:type="dxa" w:w="2835"/>
            <w:shd w:fill="7F1D1D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6" w:color="7F1D1D"/>
              <w:left w:val="single" w:sz="4" w:color="FFFFFF"/>
              <w:bottom w:val="single" w:sz="6" w:color="7F1D1D"/>
              <w:right w:val="single" w:sz="4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用户仍需完成的判断</w:t>
            </w:r>
          </w:p>
        </w:tc>
      </w:tr>
      <w:tr>
        <w:tc>
          <w:tcPr>
            <w:tcW w:type="dxa" w:w="2835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文字描述：CTF fit 差、曲线不稳定</w:t>
            </w:r>
          </w:p>
        </w:tc>
        <w:tc>
          <w:tcPr>
            <w:tcW w:type="dxa" w:w="3685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返回可能原因、检查顺序、回退路径和 QC 提醒</w:t>
            </w:r>
          </w:p>
        </w:tc>
        <w:tc>
          <w:tcPr>
            <w:tcW w:type="dxa" w:w="2835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结合原始图像、采集条件和实际 CTF 曲线确认</w:t>
            </w:r>
          </w:p>
        </w:tc>
      </w:tr>
      <w:tr>
        <w:tc>
          <w:tcPr>
            <w:tcW w:type="dxa" w:w="2835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上传 CTF 截图（Vision 已配置）</w:t>
            </w:r>
          </w:p>
        </w:tc>
        <w:tc>
          <w:tcPr>
            <w:tcW w:type="dxa" w:w="3685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尝试识别图中曲线/标签，并与检查点上下文合并回答</w:t>
            </w:r>
          </w:p>
        </w:tc>
        <w:tc>
          <w:tcPr>
            <w:tcW w:type="dxa" w:w="2835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核对识别结果；不能把图像识别当作最终测量</w:t>
            </w:r>
          </w:p>
        </w:tc>
      </w:tr>
      <w:tr>
        <w:tc>
          <w:tcPr>
            <w:tcW w:type="dxa" w:w="2835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未配置模型服务</w:t>
            </w:r>
          </w:p>
        </w:tc>
        <w:tc>
          <w:tcPr>
            <w:tcW w:type="dxa" w:w="3685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使用本地流程卡片、故障库和规则答案</w:t>
            </w:r>
          </w:p>
        </w:tc>
        <w:tc>
          <w:tcPr>
            <w:tcW w:type="dxa" w:w="2835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按软件界面和实验数据执行复核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b/>
          <w:i w:val="0"/>
          <w:color w:val="A52A2A"/>
          <w:sz w:val="25"/>
        </w:rPr>
        <w:t>7.3 示例 C：教学卡片与互动测验</w:t>
      </w:r>
    </w:p>
    <w:p>
      <w:pPr>
        <w:spacing w:after="120" w:line="300" w:lineRule="auto"/>
        <w:ind w:firstLine="420"/>
      </w:pPr>
      <w:r>
        <w:rPr>
          <w:b w:val="0"/>
          <w:i w:val="0"/>
          <w:color w:val="242124"/>
        </w:rPr>
        <w:t>在教学模式下，用户可以阅读某一步的“做什么、关键参数含义、常见问题、判断标准”卡片，并完成题库中的选择题。测验的作用是帮助理解流程逻辑，不代表对实验结果的自动认证。</w:t>
      </w:r>
    </w:p>
    <w:p>
      <w:pPr>
        <w:pStyle w:val="Heading2"/>
        <w:keepNext/>
        <w:spacing w:before="140" w:after="100"/>
      </w:pPr>
      <w:r>
        <w:rPr>
          <w:b/>
          <w:i w:val="0"/>
          <w:color w:val="A52A2A"/>
          <w:sz w:val="25"/>
        </w:rPr>
        <w:t>7.4 示例 D：专家模式与工作流导出</w:t>
      </w:r>
    </w:p>
    <w:p>
      <w:pPr>
        <w:spacing w:after="120" w:line="300" w:lineRule="auto"/>
        <w:ind w:firstLine="420"/>
      </w:pPr>
      <w:r>
        <w:rPr>
          <w:b w:val="0"/>
          <w:i w:val="0"/>
          <w:color w:val="242124"/>
        </w:rPr>
        <w:t>专家用户可以查看当前步骤的参数建议、规则依据和经验条目，保存个人预设，并导出 cryoSPARC Workflow JSON 作为后续配置起点。导出的 JSON 需要在目标 cryoSPARC 环境中检查版本、输入路径、资源和参数，StructPilot 不会自动提交作业。</w:t>
      </w:r>
    </w:p>
    <w:p>
      <w:pPr>
        <w:spacing w:before="60" w:after="120"/>
      </w:pPr>
      <w:r>
        <w:rPr>
          <w:b/>
          <w:i w:val="0"/>
          <w:color w:val="6B6462"/>
          <w:sz w:val="17"/>
        </w:rPr>
        <w:t>资料依据：</w:t>
      </w:r>
      <w:r>
        <w:rPr>
          <w:b w:val="0"/>
          <w:i w:val="0"/>
          <w:color w:val="6B6462"/>
          <w:sz w:val="17"/>
        </w:rPr>
        <w:t>图 4 为 2026 年 7 月 26 日本地运行实例截图；其余示例依据当前 UI 路由、知识库和导出功能整理。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b/>
          <w:i w:val="0"/>
          <w:color w:val="7F1D1D"/>
          <w:sz w:val="32"/>
        </w:rPr>
        <w:t>08 创新点、可靠性与隐私设计</w:t>
      </w:r>
    </w:p>
    <w:p>
      <w:pPr>
        <w:pStyle w:val="Heading2"/>
        <w:keepNext/>
        <w:spacing w:before="140" w:after="100"/>
      </w:pPr>
      <w:r>
        <w:rPr>
          <w:b/>
          <w:i w:val="0"/>
          <w:color w:val="A52A2A"/>
          <w:sz w:val="25"/>
        </w:rPr>
        <w:t>8.1 创新点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7F1D1D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6" w:color="7F1D1D"/>
              <w:left w:val="single" w:sz="4" w:color="FFFFFF"/>
              <w:bottom w:val="single" w:sz="6" w:color="7F1D1D"/>
              <w:right w:val="single" w:sz="4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创新点</w:t>
            </w:r>
          </w:p>
        </w:tc>
        <w:tc>
          <w:tcPr>
            <w:tcW w:type="dxa" w:w="4762"/>
            <w:shd w:fill="7F1D1D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6" w:color="7F1D1D"/>
              <w:left w:val="single" w:sz="4" w:color="FFFFFF"/>
              <w:bottom w:val="single" w:sz="6" w:color="7F1D1D"/>
              <w:right w:val="single" w:sz="4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具体做法</w:t>
            </w:r>
          </w:p>
        </w:tc>
        <w:tc>
          <w:tcPr>
            <w:tcW w:type="dxa" w:w="2891"/>
            <w:shd w:fill="7F1D1D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6" w:color="7F1D1D"/>
              <w:left w:val="single" w:sz="4" w:color="FFFFFF"/>
              <w:bottom w:val="single" w:sz="6" w:color="7F1D1D"/>
              <w:right w:val="single" w:sz="4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价值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检查点式陪跑</w:t>
            </w:r>
          </w:p>
        </w:tc>
        <w:tc>
          <w:tcPr>
            <w:tcW w:type="dxa" w:w="476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以 12 个流程节点组织对话、QC 和状态</w:t>
            </w:r>
          </w:p>
        </w:tc>
        <w:tc>
          <w:tcPr>
            <w:tcW w:type="dxa" w:w="2891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把复杂流程变成可定位、可回溯的任务序列</w:t>
            </w:r>
          </w:p>
        </w:tc>
      </w:tr>
      <w:tr>
        <w:tc>
          <w:tcPr>
            <w:tcW w:type="dxa" w:w="1701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三模式同底座</w:t>
            </w:r>
          </w:p>
        </w:tc>
        <w:tc>
          <w:tcPr>
            <w:tcW w:type="dxa" w:w="4762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入门、教学、专家只改变信息呈现和交互密度</w:t>
            </w:r>
          </w:p>
        </w:tc>
        <w:tc>
          <w:tcPr>
            <w:tcW w:type="dxa" w:w="2891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同一知识体系覆盖学习、执行和复核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本地优先的渐进式 AI</w:t>
            </w:r>
          </w:p>
        </w:tc>
        <w:tc>
          <w:tcPr>
            <w:tcW w:type="dxa" w:w="476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规则/知识库是最低可用路径，模型为增强层</w:t>
            </w:r>
          </w:p>
        </w:tc>
        <w:tc>
          <w:tcPr>
            <w:tcW w:type="dxa" w:w="2891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降低部署门槛，也减少单一模型失效的影响</w:t>
            </w:r>
          </w:p>
        </w:tc>
      </w:tr>
      <w:tr>
        <w:tc>
          <w:tcPr>
            <w:tcW w:type="dxa" w:w="1701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经验治理</w:t>
            </w:r>
          </w:p>
        </w:tc>
        <w:tc>
          <w:tcPr>
            <w:tcW w:type="dxa" w:w="4762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支持实验室经验导入、审核、分级、废弃和追踪</w:t>
            </w:r>
          </w:p>
        </w:tc>
        <w:tc>
          <w:tcPr>
            <w:tcW w:type="dxa" w:w="2891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把个人经验转成团队可复用资产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可导出而非黑箱自动化</w:t>
            </w:r>
          </w:p>
        </w:tc>
        <w:tc>
          <w:tcPr>
            <w:tcW w:type="dxa" w:w="476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生成报告和 Workflow JSON，保留人工审批点</w:t>
            </w:r>
          </w:p>
        </w:tc>
        <w:tc>
          <w:tcPr>
            <w:tcW w:type="dxa" w:w="2891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兼顾效率、透明度与实验责任边界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b/>
          <w:i w:val="0"/>
          <w:color w:val="A52A2A"/>
          <w:sz w:val="25"/>
        </w:rPr>
        <w:t>8.2 可靠性与隐私</w:t>
      </w:r>
    </w:p>
    <w:p>
      <w:pPr>
        <w:pStyle w:val="ListBullet"/>
        <w:spacing w:after="40" w:line="276" w:lineRule="auto"/>
        <w:ind w:left="312"/>
      </w:pPr>
      <w:r>
        <w:rPr>
          <w:b w:val="0"/>
          <w:i w:val="0"/>
        </w:rPr>
        <w:t>规则层与知识层优先：模型用于表达增强，不改变结构化结论的边界。</w:t>
      </w:r>
    </w:p>
    <w:p>
      <w:pPr>
        <w:pStyle w:val="ListBullet"/>
        <w:spacing w:after="40" w:line="276" w:lineRule="auto"/>
        <w:ind w:left="312"/>
      </w:pPr>
      <w:r>
        <w:rPr>
          <w:b w:val="0"/>
          <w:i w:val="0"/>
        </w:rPr>
        <w:t>输入和输出可追踪：会话、消息、检查点状态和部分元数据写入本地 SQLite。</w:t>
      </w:r>
    </w:p>
    <w:p>
      <w:pPr>
        <w:pStyle w:val="ListBullet"/>
        <w:spacing w:after="40" w:line="276" w:lineRule="auto"/>
        <w:ind w:left="312"/>
      </w:pPr>
      <w:r>
        <w:rPr>
          <w:b w:val="0"/>
          <w:i w:val="0"/>
        </w:rPr>
        <w:t>本地运行：演示数据和会话默认保存在本地；启用外部模型时，用户应根据机构要求审查发送内容。</w:t>
      </w:r>
    </w:p>
    <w:p>
      <w:pPr>
        <w:pStyle w:val="ListBullet"/>
        <w:spacing w:after="40" w:line="276" w:lineRule="auto"/>
        <w:ind w:left="312"/>
      </w:pPr>
      <w:r>
        <w:rPr>
          <w:b w:val="0"/>
          <w:i w:val="0"/>
        </w:rPr>
        <w:t>明确不确定性：参数推荐需要结合样品、采集条件、GPU 资源和软件版本进行专家复核。</w:t>
      </w:r>
    </w:p>
    <w:p>
      <w:pPr>
        <w:pStyle w:val="ListBullet"/>
        <w:spacing w:after="40" w:line="276" w:lineRule="auto"/>
        <w:ind w:left="312"/>
      </w:pPr>
      <w:r>
        <w:rPr>
          <w:b w:val="0"/>
          <w:i w:val="0"/>
        </w:rPr>
        <w:t>角色区分：当前支持 admin/member/guest 等角色概念，具体部署仍需结合本地访问控制策略。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524"/>
            <w:shd w:fill="FFF4E5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val="single" w:sz="18" w:color="8A5A00"/>
              <w:bottom w:val="nil"/>
              <w:right w:val="nil"/>
            </w:tcBorders>
          </w:tcPr>
          <w:p>
            <w:pPr>
              <w:spacing w:after="80"/>
            </w:pPr>
            <w:r>
              <w:rPr>
                <w:b/>
                <w:i w:val="0"/>
                <w:color w:val="8A5A00"/>
                <w:sz w:val="21"/>
              </w:rPr>
              <w:t>责任边界</w:t>
            </w:r>
          </w:p>
          <w:p>
            <w:pPr>
              <w:spacing w:after="0" w:line="276" w:lineRule="auto"/>
            </w:pPr>
            <w:r>
              <w:rPr>
                <w:b w:val="0"/>
                <w:i w:val="0"/>
                <w:color w:val="242124"/>
                <w:sz w:val="19"/>
              </w:rPr>
              <w:t>StructPilot 提供导航、解释、检查和配置建议；最终实验参数、数据质量判断、结构解析和论文级结论仍由研究人员负责。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00" w:after="100"/>
      </w:pPr>
      <w:r>
        <w:rPr>
          <w:b/>
          <w:i w:val="0"/>
          <w:color w:val="7F1D1D"/>
          <w:sz w:val="32"/>
        </w:rPr>
        <w:t>09 部署要求、当前边界与后续路线</w:t>
      </w:r>
    </w:p>
    <w:p>
      <w:pPr>
        <w:pStyle w:val="Heading2"/>
        <w:keepNext/>
        <w:spacing w:before="140" w:after="100"/>
      </w:pPr>
      <w:r>
        <w:rPr>
          <w:b/>
          <w:i w:val="0"/>
          <w:color w:val="A52A2A"/>
          <w:sz w:val="25"/>
        </w:rPr>
        <w:t>9.1 运行与部署要求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shd w:fill="7F1D1D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6" w:color="7F1D1D"/>
              <w:left w:val="single" w:sz="4" w:color="FFFFFF"/>
              <w:bottom w:val="single" w:sz="6" w:color="7F1D1D"/>
              <w:right w:val="single" w:sz="4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6973"/>
            <w:shd w:fill="7F1D1D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6" w:color="7F1D1D"/>
              <w:left w:val="single" w:sz="4" w:color="FFFFFF"/>
              <w:bottom w:val="single" w:sz="6" w:color="7F1D1D"/>
              <w:right w:val="single" w:sz="4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要求/说明</w:t>
            </w:r>
          </w:p>
        </w:tc>
      </w:tr>
      <w:tr>
        <w:tc>
          <w:tcPr>
            <w:tcW w:type="dxa" w:w="2381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运行入口</w:t>
            </w:r>
          </w:p>
        </w:tc>
        <w:tc>
          <w:tcPr>
            <w:tcW w:type="dxa" w:w="6973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本地运行 Streamlit 应用；Windows 可使用项目提供的启动脚本</w:t>
            </w:r>
          </w:p>
        </w:tc>
      </w:tr>
      <w:tr>
        <w:tc>
          <w:tcPr>
            <w:tcW w:type="dxa" w:w="2381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Python</w:t>
            </w:r>
          </w:p>
        </w:tc>
        <w:tc>
          <w:tcPr>
            <w:tcW w:type="dxa" w:w="6973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Python 3.10+（以 requirements.txt 为准）</w:t>
            </w:r>
          </w:p>
        </w:tc>
      </w:tr>
      <w:tr>
        <w:tc>
          <w:tcPr>
            <w:tcW w:type="dxa" w:w="2381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数据存储</w:t>
            </w:r>
          </w:p>
        </w:tc>
        <w:tc>
          <w:tcPr>
            <w:tcW w:type="dxa" w:w="6973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SQLite 与本地 runtime 目录；适合演示和小团队使用</w:t>
            </w:r>
          </w:p>
        </w:tc>
      </w:tr>
      <w:tr>
        <w:tc>
          <w:tcPr>
            <w:tcW w:type="dxa" w:w="2381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模型服务</w:t>
            </w:r>
          </w:p>
        </w:tc>
        <w:tc>
          <w:tcPr>
            <w:tcW w:type="dxa" w:w="6973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LLM、Embedding、Vision、Speech 为可选配置，需提供相应 API/模型</w:t>
            </w:r>
          </w:p>
        </w:tc>
      </w:tr>
      <w:tr>
        <w:tc>
          <w:tcPr>
            <w:tcW w:type="dxa" w:w="2381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上传限制</w:t>
            </w:r>
          </w:p>
        </w:tc>
        <w:tc>
          <w:tcPr>
            <w:tcW w:type="dxa" w:w="6973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当前界面约束：图片 10 MB，音频 25 MB</w:t>
            </w:r>
          </w:p>
        </w:tc>
      </w:tr>
      <w:tr>
        <w:tc>
          <w:tcPr>
            <w:tcW w:type="dxa" w:w="2381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外部软件</w:t>
            </w:r>
          </w:p>
        </w:tc>
        <w:tc>
          <w:tcPr>
            <w:tcW w:type="dxa" w:w="6973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cryoSPARC、RELION 及 Coot/Phenix/ChimeraX 等由用户另行安装和运行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b/>
          <w:i w:val="0"/>
          <w:color w:val="A52A2A"/>
          <w:sz w:val="25"/>
        </w:rPr>
        <w:t>9.2 当前边界（请评审按此理解）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fill="7F1D1D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6" w:color="7F1D1D"/>
              <w:left w:val="single" w:sz="4" w:color="FFFFFF"/>
              <w:bottom w:val="single" w:sz="6" w:color="7F1D1D"/>
              <w:right w:val="single" w:sz="4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类别</w:t>
            </w:r>
          </w:p>
        </w:tc>
        <w:tc>
          <w:tcPr>
            <w:tcW w:type="dxa" w:w="7087"/>
            <w:shd w:fill="7F1D1D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6" w:color="7F1D1D"/>
              <w:left w:val="single" w:sz="4" w:color="FFFFFF"/>
              <w:bottom w:val="single" w:sz="6" w:color="7F1D1D"/>
              <w:right w:val="single" w:sz="4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当前边界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计算执行</w:t>
            </w:r>
          </w:p>
        </w:tc>
        <w:tc>
          <w:tcPr>
            <w:tcW w:type="dxa" w:w="7087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StructPilot 不执行 cryoSPARC/RELION 的重计算，也不自动提交作业。</w:t>
            </w:r>
          </w:p>
        </w:tc>
      </w:tr>
      <w:tr>
        <w:tc>
          <w:tcPr>
            <w:tcW w:type="dxa" w:w="2268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参数可信度</w:t>
            </w:r>
          </w:p>
        </w:tc>
        <w:tc>
          <w:tcPr>
            <w:tcW w:type="dxa" w:w="7087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参数是基于规则、知识和上下文的建议，不是对任何样品的保证值。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模型依赖</w:t>
            </w:r>
          </w:p>
        </w:tc>
        <w:tc>
          <w:tcPr>
            <w:tcW w:type="dxa" w:w="7087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LLM、Vision、Embedding、Speech 的增强能力取决于外部配置、配额和网络。</w:t>
            </w:r>
          </w:p>
        </w:tc>
      </w:tr>
      <w:tr>
        <w:tc>
          <w:tcPr>
            <w:tcW w:type="dxa" w:w="2268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图像判断</w:t>
            </w:r>
          </w:p>
        </w:tc>
        <w:tc>
          <w:tcPr>
            <w:tcW w:type="dxa" w:w="7087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图像分析是辅助解释，必须由用户回看原图和软件 QC 结果。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数据规模</w:t>
            </w:r>
          </w:p>
        </w:tc>
        <w:tc>
          <w:tcPr>
            <w:tcW w:type="dxa" w:w="7087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本地 SQLite 不是生产级多用户数据库，暂不宣称高并发和跨机构协作能力。</w:t>
            </w:r>
          </w:p>
        </w:tc>
      </w:tr>
      <w:tr>
        <w:tc>
          <w:tcPr>
            <w:tcW w:type="dxa" w:w="2268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结构建模</w:t>
            </w:r>
          </w:p>
        </w:tc>
        <w:tc>
          <w:tcPr>
            <w:tcW w:type="dxa" w:w="7087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模型构建与验证依赖外部专业工具，StructPilot 主要提供流程导航和验证提醒。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b/>
          <w:i w:val="0"/>
          <w:color w:val="A52A2A"/>
          <w:sz w:val="25"/>
        </w:rPr>
        <w:t>9.3 后续路线</w:t>
      </w:r>
    </w:p>
    <w:p>
      <w:pPr>
        <w:pStyle w:val="ListNumber"/>
        <w:spacing w:after="60" w:line="276" w:lineRule="auto"/>
        <w:ind w:left="312"/>
      </w:pPr>
      <w:r>
        <w:rPr>
          <w:b w:val="0"/>
          <w:i w:val="0"/>
        </w:rPr>
        <w:t>扩充 cp_02—cp_12 的教学卡片、故障案例和可验证 QC 规则。</w:t>
      </w:r>
    </w:p>
    <w:p>
      <w:pPr>
        <w:pStyle w:val="ListNumber"/>
        <w:spacing w:after="60" w:line="276" w:lineRule="auto"/>
        <w:ind w:left="312"/>
      </w:pPr>
      <w:r>
        <w:rPr>
          <w:b w:val="0"/>
          <w:i w:val="0"/>
        </w:rPr>
        <w:t>增加项目级数据隔离、审计日志和更适合团队部署的数据库后端。</w:t>
      </w:r>
    </w:p>
    <w:p>
      <w:pPr>
        <w:pStyle w:val="ListNumber"/>
        <w:spacing w:after="60" w:line="276" w:lineRule="auto"/>
        <w:ind w:left="312"/>
      </w:pPr>
      <w:r>
        <w:rPr>
          <w:b w:val="0"/>
          <w:i w:val="0"/>
        </w:rPr>
        <w:t>在明确授权和版本兼容策略后，探索与 cryoSPARC/RELION 的作业状态接口集成。</w:t>
      </w:r>
    </w:p>
    <w:p>
      <w:pPr>
        <w:pStyle w:val="ListNumber"/>
        <w:spacing w:after="60" w:line="276" w:lineRule="auto"/>
        <w:ind w:left="312"/>
      </w:pPr>
      <w:r>
        <w:rPr>
          <w:b w:val="0"/>
          <w:i w:val="0"/>
        </w:rPr>
        <w:t>建立基于真实实验案例的离线评测集，分别评估检索正确性、故障路径覆盖和建议可执行性。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524"/>
            <w:shd w:fill="F9E8E6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val="single" w:sz="18" w:color="A52A2A"/>
              <w:bottom w:val="nil"/>
              <w:right w:val="nil"/>
            </w:tcBorders>
          </w:tcPr>
          <w:p>
            <w:pPr>
              <w:spacing w:after="80"/>
            </w:pPr>
            <w:r>
              <w:rPr>
                <w:b/>
                <w:i w:val="0"/>
                <w:color w:val="A52A2A"/>
                <w:sz w:val="21"/>
              </w:rPr>
              <w:t>数据声明</w:t>
            </w:r>
          </w:p>
          <w:p>
            <w:pPr>
              <w:spacing w:after="0" w:line="276" w:lineRule="auto"/>
            </w:pPr>
            <w:r>
              <w:rPr>
                <w:b w:val="0"/>
                <w:i w:val="0"/>
                <w:color w:val="242124"/>
                <w:sz w:val="19"/>
              </w:rPr>
              <w:t>本文档不宣称视觉识别准确率、参数准确率、节省时间、用户满意度或结构求解性能等未经独立实验验证的指标。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00" w:after="100"/>
      </w:pPr>
      <w:r>
        <w:rPr>
          <w:b/>
          <w:i w:val="0"/>
          <w:color w:val="7F1D1D"/>
          <w:sz w:val="32"/>
        </w:rPr>
        <w:t>附录：功能核验表与建议演示脚本</w:t>
      </w:r>
    </w:p>
    <w:p>
      <w:pPr>
        <w:pStyle w:val="Heading2"/>
        <w:keepNext/>
        <w:spacing w:before="140" w:after="100"/>
      </w:pPr>
      <w:r>
        <w:rPr>
          <w:b/>
          <w:i w:val="0"/>
          <w:color w:val="A52A2A"/>
          <w:sz w:val="25"/>
        </w:rPr>
        <w:t>A.1 功能核验表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fill="7F1D1D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6" w:color="7F1D1D"/>
              <w:left w:val="single" w:sz="4" w:color="FFFFFF"/>
              <w:bottom w:val="single" w:sz="6" w:color="7F1D1D"/>
              <w:right w:val="single" w:sz="4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核验项</w:t>
            </w:r>
          </w:p>
        </w:tc>
        <w:tc>
          <w:tcPr>
            <w:tcW w:type="dxa" w:w="4819"/>
            <w:shd w:fill="7F1D1D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6" w:color="7F1D1D"/>
              <w:left w:val="single" w:sz="4" w:color="FFFFFF"/>
              <w:bottom w:val="single" w:sz="6" w:color="7F1D1D"/>
              <w:right w:val="single" w:sz="4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核验方式</w:t>
            </w:r>
          </w:p>
        </w:tc>
        <w:tc>
          <w:tcPr>
            <w:tcW w:type="dxa" w:w="2268"/>
            <w:shd w:fill="7F1D1D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6" w:color="7F1D1D"/>
              <w:left w:val="single" w:sz="4" w:color="FFFFFF"/>
              <w:bottom w:val="single" w:sz="6" w:color="7F1D1D"/>
              <w:right w:val="single" w:sz="4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版本与入口</w:t>
            </w:r>
          </w:p>
        </w:tc>
        <w:tc>
          <w:tcPr>
            <w:tcW w:type="dxa" w:w="4819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检查 version.py 与 Streamlit 启动入口</w:t>
            </w:r>
          </w:p>
        </w:tc>
        <w:tc>
          <w:tcPr>
            <w:tcW w:type="dxa" w:w="22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StructPilot v6.0.0；Web UI 可启动</w:t>
            </w:r>
          </w:p>
        </w:tc>
      </w:tr>
      <w:tr>
        <w:tc>
          <w:tcPr>
            <w:tcW w:type="dxa" w:w="2268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流程导航</w:t>
            </w:r>
          </w:p>
        </w:tc>
        <w:tc>
          <w:tcPr>
            <w:tcW w:type="dxa" w:w="4819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选择软件、检查点和模式，输入开始/完成/跳过</w:t>
            </w:r>
          </w:p>
        </w:tc>
        <w:tc>
          <w:tcPr>
            <w:tcW w:type="dxa" w:w="2268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已实现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会话持久化</w:t>
            </w:r>
          </w:p>
        </w:tc>
        <w:tc>
          <w:tcPr>
            <w:tcW w:type="dxa" w:w="4819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检查 SQLite sessions/messages/checkpoint 记录</w:t>
            </w:r>
          </w:p>
        </w:tc>
        <w:tc>
          <w:tcPr>
            <w:tcW w:type="dxa" w:w="22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已实现</w:t>
            </w:r>
          </w:p>
        </w:tc>
      </w:tr>
      <w:tr>
        <w:tc>
          <w:tcPr>
            <w:tcW w:type="dxa" w:w="2268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知识库</w:t>
            </w:r>
          </w:p>
        </w:tc>
        <w:tc>
          <w:tcPr>
            <w:tcW w:type="dxa" w:w="4819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检查 flows、rules、faults、teaching、review 目录</w:t>
            </w:r>
          </w:p>
        </w:tc>
        <w:tc>
          <w:tcPr>
            <w:tcW w:type="dxa" w:w="2268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已实现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多模态输入</w:t>
            </w:r>
          </w:p>
        </w:tc>
        <w:tc>
          <w:tcPr>
            <w:tcW w:type="dxa" w:w="4819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文本、图片上传/粘贴；语音路径需服务配置</w:t>
            </w:r>
          </w:p>
        </w:tc>
        <w:tc>
          <w:tcPr>
            <w:tcW w:type="dxa" w:w="22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分层实现</w:t>
            </w:r>
          </w:p>
        </w:tc>
      </w:tr>
      <w:tr>
        <w:tc>
          <w:tcPr>
            <w:tcW w:type="dxa" w:w="2268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报告下载</w:t>
            </w:r>
          </w:p>
        </w:tc>
        <w:tc>
          <w:tcPr>
            <w:tcW w:type="dxa" w:w="4819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从界面导出报告/Markdown</w:t>
            </w:r>
          </w:p>
        </w:tc>
        <w:tc>
          <w:tcPr>
            <w:tcW w:type="dxa" w:w="2268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已实现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cryoSPARC Workflow JSON</w:t>
            </w:r>
          </w:p>
        </w:tc>
        <w:tc>
          <w:tcPr>
            <w:tcW w:type="dxa" w:w="4819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专家模式导出并在目标环境复核</w:t>
            </w:r>
          </w:p>
        </w:tc>
        <w:tc>
          <w:tcPr>
            <w:tcW w:type="dxa" w:w="22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已实现；不自动提交</w:t>
            </w:r>
          </w:p>
        </w:tc>
      </w:tr>
      <w:tr>
        <w:tc>
          <w:tcPr>
            <w:tcW w:type="dxa" w:w="2268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质量验证</w:t>
            </w:r>
          </w:p>
        </w:tc>
        <w:tc>
          <w:tcPr>
            <w:tcW w:type="dxa" w:w="4819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运行项目健康检查与核心测试</w:t>
            </w:r>
          </w:p>
        </w:tc>
        <w:tc>
          <w:tcPr>
            <w:tcW w:type="dxa" w:w="2268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已知核心测试通过；完整 pytest 仍有历史测试/临时目录问题，不作全部通过声明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b/>
          <w:i w:val="0"/>
          <w:color w:val="A52A2A"/>
          <w:sz w:val="25"/>
        </w:rPr>
        <w:t>A.2 5 分钟建议演示脚本</w:t>
      </w:r>
    </w:p>
    <w:p>
      <w:pPr>
        <w:pStyle w:val="ListNumber"/>
        <w:spacing w:after="60" w:line="276" w:lineRule="auto"/>
        <w:ind w:left="312"/>
      </w:pPr>
      <w:r>
        <w:rPr>
          <w:b w:val="0"/>
          <w:i w:val="0"/>
        </w:rPr>
        <w:t>30 秒：展示定位——StructPilot 是流程导航与知识协作系统，不替代 cryoSPARC/RELION。</w:t>
      </w:r>
    </w:p>
    <w:p>
      <w:pPr>
        <w:pStyle w:val="ListNumber"/>
        <w:spacing w:after="60" w:line="276" w:lineRule="auto"/>
        <w:ind w:left="312"/>
      </w:pPr>
      <w:r>
        <w:rPr>
          <w:b w:val="0"/>
          <w:i w:val="0"/>
        </w:rPr>
        <w:t>60 秒：选择 cryoSPARC，展示步骤 3 的真实界面与快速/智能模式入口。</w:t>
      </w:r>
    </w:p>
    <w:p>
      <w:pPr>
        <w:pStyle w:val="ListNumber"/>
        <w:spacing w:after="60" w:line="276" w:lineRule="auto"/>
        <w:ind w:left="312"/>
      </w:pPr>
      <w:r>
        <w:rPr>
          <w:b w:val="0"/>
          <w:i w:val="0"/>
        </w:rPr>
        <w:t>90 秒：输入“CTF fit 质量差怎么办”，展示检查顺序、QC 提醒和当前检查点上下文。</w:t>
      </w:r>
    </w:p>
    <w:p>
      <w:pPr>
        <w:pStyle w:val="ListNumber"/>
        <w:spacing w:after="60" w:line="276" w:lineRule="auto"/>
        <w:ind w:left="312"/>
      </w:pPr>
      <w:r>
        <w:rPr>
          <w:b w:val="0"/>
          <w:i w:val="0"/>
        </w:rPr>
        <w:t>60 秒：切换教学模式，展示教学卡片与测验；说明同一底层状态不会改变。</w:t>
      </w:r>
    </w:p>
    <w:p>
      <w:pPr>
        <w:pStyle w:val="ListNumber"/>
        <w:spacing w:after="60" w:line="276" w:lineRule="auto"/>
        <w:ind w:left="312"/>
      </w:pPr>
      <w:r>
        <w:rPr>
          <w:b w:val="0"/>
          <w:i w:val="0"/>
        </w:rPr>
        <w:t>60 秒：切换专家模式，展示参数、经验、报告或 Workflow JSON 导出，并强调人工复核边界。</w:t>
      </w:r>
    </w:p>
    <w:p>
      <w:pPr>
        <w:pStyle w:val="ListNumber"/>
        <w:spacing w:after="60" w:line="276" w:lineRule="auto"/>
        <w:ind w:left="312"/>
      </w:pPr>
      <w:r>
        <w:rPr>
          <w:b w:val="0"/>
          <w:i w:val="0"/>
        </w:rPr>
        <w:t>30 秒：总结创新点——检查点、三模式、本地优先知识治理和可追踪输出。</w:t>
      </w:r>
    </w:p>
    <w:p>
      <w:pPr>
        <w:pStyle w:val="Heading2"/>
        <w:keepNext/>
        <w:spacing w:before="140" w:after="100"/>
      </w:pPr>
      <w:r>
        <w:rPr>
          <w:b/>
          <w:i w:val="0"/>
          <w:color w:val="A52A2A"/>
          <w:sz w:val="25"/>
        </w:rPr>
        <w:t>A.3 评审可复核的仓库位置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fill="7F1D1D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6" w:color="7F1D1D"/>
              <w:left w:val="single" w:sz="4" w:color="FFFFFF"/>
              <w:bottom w:val="single" w:sz="6" w:color="7F1D1D"/>
              <w:right w:val="single" w:sz="4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7087"/>
            <w:shd w:fill="7F1D1D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6" w:color="7F1D1D"/>
              <w:left w:val="single" w:sz="4" w:color="FFFFFF"/>
              <w:bottom w:val="single" w:sz="6" w:color="7F1D1D"/>
              <w:right w:val="single" w:sz="4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仓库位置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版本号</w:t>
            </w:r>
          </w:p>
        </w:tc>
        <w:tc>
          <w:tcPr>
            <w:tcW w:type="dxa" w:w="7087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version.py</w:t>
            </w:r>
          </w:p>
        </w:tc>
      </w:tr>
      <w:tr>
        <w:tc>
          <w:tcPr>
            <w:tcW w:type="dxa" w:w="2268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Web 主入口</w:t>
            </w:r>
          </w:p>
        </w:tc>
        <w:tc>
          <w:tcPr>
            <w:tcW w:type="dxa" w:w="7087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main.py / streamlit_app.py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三种模式</w:t>
            </w:r>
          </w:p>
        </w:tc>
        <w:tc>
          <w:tcPr>
            <w:tcW w:type="dxa" w:w="7087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modes/beginner.py、modes/teaching.py、modes/expert.py</w:t>
            </w:r>
          </w:p>
        </w:tc>
      </w:tr>
      <w:tr>
        <w:tc>
          <w:tcPr>
            <w:tcW w:type="dxa" w:w="2268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流程定义</w:t>
            </w:r>
          </w:p>
        </w:tc>
        <w:tc>
          <w:tcPr>
            <w:tcW w:type="dxa" w:w="7087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knowledge_base/flows/pipeline_checkpoints.json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规则与故障库</w:t>
            </w:r>
          </w:p>
        </w:tc>
        <w:tc>
          <w:tcPr>
            <w:tcW w:type="dxa" w:w="7087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knowledge_base/rules/、knowledge_base/faults/</w:t>
            </w:r>
          </w:p>
        </w:tc>
      </w:tr>
      <w:tr>
        <w:tc>
          <w:tcPr>
            <w:tcW w:type="dxa" w:w="2268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教学内容</w:t>
            </w:r>
          </w:p>
        </w:tc>
        <w:tc>
          <w:tcPr>
            <w:tcW w:type="dxa" w:w="7087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knowledge_base/teaching_cards.json、knowledge_base/quiz_bank.json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审查治理</w:t>
            </w:r>
          </w:p>
        </w:tc>
        <w:tc>
          <w:tcPr>
            <w:tcW w:type="dxa" w:w="7087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knowledge_base/review/、knowledge_base/validate_kb_structure.py</w:t>
            </w:r>
          </w:p>
        </w:tc>
      </w:tr>
      <w:tr>
        <w:tc>
          <w:tcPr>
            <w:tcW w:type="dxa" w:w="2268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运行截图</w:t>
            </w:r>
          </w:p>
        </w:tc>
        <w:tc>
          <w:tcPr>
            <w:tcW w:type="dxa" w:w="7087"/>
            <w:shd w:fill="FBF8F7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3" w:color="D9D2CF"/>
              <w:left w:val="single" w:sz="3" w:color="D9D2CF"/>
              <w:bottom w:val="single" w:sz="3" w:color="D9D2CF"/>
              <w:right w:val="single" w:sz="3" w:color="D9D2CF"/>
            </w:tcBorders>
            <w:vAlign w:val="center"/>
          </w:tcPr>
          <w:p>
            <w:pPr>
              <w:spacing w:after="0" w:line="264" w:lineRule="auto"/>
            </w:pPr>
            <w:r>
              <w:rPr>
                <w:b w:val="0"/>
                <w:i w:val="0"/>
                <w:color w:val="242124"/>
                <w:sz w:val="17"/>
              </w:rPr>
              <w:t>比赛提交文档/fig_live_home.png</w:t>
            </w:r>
          </w:p>
        </w:tc>
      </w:tr>
    </w:tbl>
    <w:p>
      <w:pPr>
        <w:spacing w:after="20"/>
      </w:pPr>
    </w:p>
    <w:p>
      <w:pPr>
        <w:spacing w:before="60" w:after="120"/>
      </w:pPr>
      <w:r>
        <w:rPr>
          <w:b/>
          <w:i w:val="0"/>
          <w:color w:val="6B6462"/>
          <w:sz w:val="17"/>
        </w:rPr>
        <w:t>资料依据：</w:t>
      </w:r>
      <w:r>
        <w:rPr>
          <w:b w:val="0"/>
          <w:i w:val="0"/>
          <w:color w:val="6B6462"/>
          <w:sz w:val="17"/>
        </w:rPr>
        <w:t>本文档为决赛提交说明，不替代源代码、运行日志或实验记录；评审如需复核，以当前提交包中的代码和配置为准。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6462"/>
        <w:sz w:val="16"/>
      </w:rPr>
      <w:t xml:space="preserve">StructPilot v6.0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b/>
        <w:i w:val="0"/>
        <w:color w:val="A52A2A"/>
        <w:sz w:val="16"/>
      </w:rPr>
      <w:t>STRUCTPILOT  /  冷冻电镜单颗粒分析智能导航系统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4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D1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2A2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2A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StructPilot v6.0 决赛作品说明文档</dc:title>
  <dc:subject>冷冻电镜单颗粒分析智能导航系统的创意、功能与演示说明</dc:subject>
  <dc:creator>StructPilot 项目组</dc:creator>
  <cp:keywords>StructPilot; Cryo-EM; cryoSPARC; RELION; 作品说明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