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A1F4D" w:color="auto" w:val="clear"/>
            <w:tcMar>
              <w:top w:type="dxa" w:w="400"/>
              <w:left w:type="dxa" w:w="350"/>
              <w:bottom w:type="dxa" w:w="400"/>
              <w:right w:type="dxa" w:w="35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Market Twin</w:t>
            </w:r>
            <w:r>
              <w:rPr>
                <w:b/>
                <w:bCs/>
                <w:color w:val="FFFFFF"/>
                <w:sz w:val="44"/>
                <w:szCs w:val="44"/>
              </w:rPr>
              <w:br/>
            </w:r>
            <w:r>
              <w:rPr>
                <w:b/>
                <w:bCs/>
                <w:color w:val="FFFFFF"/>
                <w:sz w:val="44"/>
                <w:szCs w:val="44"/>
              </w:rPr>
              <w:t xml:space="preserve">사업 성장성 예측 자료</w:t>
            </w:r>
          </w:p>
          <w:p>
            <w:pPr>
              <w:spacing w:after="90" w:before="0" w:line="264"/>
            </w:pPr>
            <w:r>
              <w:rPr>
                <w:color w:val="DBE4FF"/>
                <w:sz w:val="24"/>
                <w:szCs w:val="24"/>
              </w:rPr>
              <w:t xml:space="preserve">2027년 상반기 정식 출시를 가정한 </w:t>
            </w:r>
            <w:r>
              <w:rPr>
                <w:b/>
                <w:bCs/>
                <w:color w:val="0A1F4D"/>
                <w:sz w:val="24"/>
                <w:szCs w:val="24"/>
              </w:rPr>
              <w:t xml:space="preserve">3개년 매출·구독자 성장 예측</w:t>
            </w:r>
            <w:r>
              <w:rPr>
                <w:color w:val="DBE4FF"/>
                <w:sz w:val="24"/>
                <w:szCs w:val="24"/>
              </w:rPr>
              <w:t xml:space="preserve">과 그 근거. 베타 실증·상향식(bottom-up) 퍼널·SaaS 벤치마크에 기반합니다.</w:t>
            </w:r>
          </w:p>
          <w:p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1.5억→29억  </w:t>
            </w:r>
            <w:r>
              <w:rPr>
                <w:color w:val="93C5FD"/>
                <w:sz w:val="18"/>
                <w:szCs w:val="18"/>
              </w:rPr>
              <w:t xml:space="preserve">매출 (2027→2029, 연간 인식)</w:t>
            </w:r>
          </w:p>
          <w:p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55→450  </w:t>
            </w:r>
            <w:r>
              <w:rPr>
                <w:color w:val="93C5FD"/>
                <w:sz w:val="18"/>
                <w:szCs w:val="18"/>
              </w:rPr>
              <w:t xml:space="preserve">유료 고객 (연말 기준)</w:t>
            </w:r>
          </w:p>
          <w:p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48억  </w:t>
            </w:r>
            <w:r>
              <w:rPr>
                <w:color w:val="93C5FD"/>
                <w:sz w:val="18"/>
                <w:szCs w:val="18"/>
              </w:rPr>
              <w:t xml:space="preserve">2029년말 ARR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주식회사 미스터에이아이 (Mr.AI Inc.)</w:t>
            </w:r>
            <w:r>
              <w:rPr>
                <w:color w:val="C7D2FE"/>
                <w:sz w:val="20"/>
                <w:szCs w:val="20"/>
              </w:rPr>
              <w:t xml:space="preserve"> · 대표이사 이현우</w:t>
            </w:r>
          </w:p>
          <w:p>
            <w:pPr>
              <w:spacing w:after="90" w:before="0" w:line="264"/>
            </w:pPr>
            <w:r>
              <w:rPr>
                <w:color w:val="C7D2FE"/>
                <w:sz w:val="20"/>
                <w:szCs w:val="20"/>
              </w:rPr>
              <w:t xml:space="preserve">제품: markettwin.ai · 문의: chris@markettwin.ai · 2026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성장성 예측 요약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이미 오픈베타로 검증된 제품을 </w:t>
      </w:r>
      <w:r>
        <w:rPr>
          <w:b/>
          <w:bCs/>
          <w:color w:val="0A1F4D"/>
          <w:sz w:val="24"/>
          <w:szCs w:val="24"/>
        </w:rPr>
        <w:t xml:space="preserve">2027년 상반기 정식 출시</w:t>
      </w:r>
      <w:r>
        <w:rPr>
          <w:color w:val="1E293B"/>
          <w:sz w:val="24"/>
          <w:szCs w:val="24"/>
        </w:rPr>
        <w:t xml:space="preserve">한다는 가정 하에, 베타 실증과 상향식 고객 퍼널을 근거로 3개년 성장을 예측했습니다.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/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/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/>
        </w:tc>
      </w:tr>
    </w:tbl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예측의 3대 근거 (자세히는 6장)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① 베타 실증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르무통·FRONT2LINE·Juicy Brix 등 실브랜드가 베타에서 진출 의사결정에 활용 → 유료 전환 가능성·지불의사 확인 (별첨 베타테스트 자료)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② 상향식 퍼널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인바운드(PLG)·파트너(대행사·수출지원기관·액셀러레이터)·엔터프라이즈 3개 채널의 월별 신규 유입 − 이탈로 고객 수 산출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③ 시장·벤치마크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K-브랜드 해외진출 수요 증가 + 합성 리서치 신흥 카테고리(Gartner) + B2B SaaS 표준 지표(전환율·이탈·NRR)</w:t>
            </w:r>
          </w:p>
        </w:tc>
      </w:tr>
    </w:tbl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핵심.</w:t>
            </w:r>
            <w:r>
              <w:rPr>
                <w:color w:val="334155"/>
                <w:sz w:val="20"/>
                <w:szCs w:val="20"/>
              </w:rPr>
              <w:t xml:space="preserve"> 본 예측은 희망 수치가 아니라,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이미 작동하는 제품 + 실브랜드 베타 실증 + 검증된 SaaS 지표</w:t>
            </w:r>
            <w:r>
              <w:rPr>
                <w:color w:val="334155"/>
                <w:sz w:val="20"/>
                <w:szCs w:val="20"/>
              </w:rPr>
              <w:t xml:space="preserve">에 근거한 상향식 모델입니다. 초기 침투율은 서비스 가능 시장(SAM)의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1% 미만</w:t>
            </w:r>
            <w:r>
              <w:rPr>
                <w:color w:val="334155"/>
                <w:sz w:val="20"/>
                <w:szCs w:val="20"/>
              </w:rPr>
              <w:t xml:space="preserve">으로, 상방 여력이 큽니다.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시장 기회와 성장 동력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성장은 세 가지 구조적 순풍 위에 서 있습니다 — 수요 증가, 카테고리 형성, 비용 압박.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① K-브랜드 진출 수요</w:t>
            </w:r>
          </w:p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K-뷰티·K-푸드·K-패션 확산으로 한국 소비재 브랜드의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해외진출이 구조적으로 증가</w:t>
            </w:r>
            <w:r>
              <w:rPr>
                <w:color w:val="334155"/>
                <w:sz w:val="20"/>
                <w:szCs w:val="20"/>
              </w:rPr>
              <w:t xml:space="preserve">. 진출 전 검증 수요가 상수화.</w:t>
            </w:r>
          </w:p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② 신흥 카테고리</w:t>
            </w:r>
          </w:p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Gartner(2025.05)가 '합성 리서치'를 신흥 카테고리로 규정 —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초기 형성 시장</w:t>
            </w:r>
            <w:r>
              <w:rPr>
                <w:color w:val="334155"/>
                <w:sz w:val="20"/>
                <w:szCs w:val="20"/>
              </w:rPr>
              <w:t xml:space="preserve">에 선점 진입.</w:t>
            </w:r>
          </w:p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③ 비용 압박</w:t>
            </w:r>
          </w:p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경기 둔화로 기업이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느리고 비싼 리서치의 저가·고속 대안</w:t>
            </w:r>
            <w:r>
              <w:rPr>
                <w:color w:val="334155"/>
                <w:sz w:val="20"/>
                <w:szCs w:val="20"/>
              </w:rPr>
              <w:t xml:space="preserve">을 적극 탐색.</w:t>
            </w:r>
          </w:p>
        </w:tc>
      </w:tr>
    </w:tbl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시장 규모 (SAM·SOM)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규모(추정)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SAM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신제품·해외진출 의사결정 리서치 + 합성 리서치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수십억 달러·고성장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SOM(초기)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한국·아시아 소비재 브랜드 진출검증 + 스타트업 콘셉트테스트 + 대행사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국내만 수천 개 브랜드</w:t>
            </w:r>
          </w:p>
        </w:tc>
      </w:tr>
    </w:tbl>
    <w:p>
      <w:pPr>
        <w:spacing w:after="90" w:before="0" w:line="264"/>
      </w:pPr>
      <w:r>
        <w:rPr>
          <w:color w:val="64748B"/>
          <w:sz w:val="17"/>
          <w:szCs w:val="17"/>
        </w:rPr>
        <w:t xml:space="preserve">국내 소비재·D2C·스타트업만 해도 진출·콘셉트 검증 수요 기업이 </w:t>
      </w:r>
      <w:r>
        <w:rPr>
          <w:b/>
          <w:bCs/>
          <w:color w:val="0A1F4D"/>
          <w:sz w:val="17"/>
          <w:szCs w:val="17"/>
        </w:rPr>
        <w:t xml:space="preserve">수천 곳</w:t>
      </w:r>
      <w:r>
        <w:rPr>
          <w:color w:val="64748B"/>
          <w:sz w:val="17"/>
          <w:szCs w:val="17"/>
        </w:rPr>
        <w:t xml:space="preserve">에 이릅니다. 2029년 목표 유료고객 450곳은 이 중 </w:t>
      </w:r>
      <w:r>
        <w:rPr>
          <w:b/>
          <w:bCs/>
          <w:color w:val="0A1F4D"/>
          <w:sz w:val="17"/>
          <w:szCs w:val="17"/>
        </w:rPr>
        <w:t xml:space="preserve">극히 일부(1% 미만)</w:t>
      </w:r>
      <w:r>
        <w:rPr>
          <w:color w:val="64748B"/>
          <w:sz w:val="17"/>
          <w:szCs w:val="17"/>
        </w:rPr>
        <w:t xml:space="preserve">로, 목표의 보수성을 뒷받침합니다.</w:t>
      </w:r>
    </w:p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왜 지금(2027 상반기) 출시인가.</w:t>
            </w:r>
            <w:r>
              <w:rPr>
                <w:color w:val="334155"/>
                <w:sz w:val="20"/>
                <w:szCs w:val="20"/>
              </w:rPr>
              <w:t xml:space="preserve"> ① 제품이 이미 오픈베타로 검증 완료, ② origin-agnostic 엔진·커머스 데이터 결합 등 정식출시 기능이 2026 하반기~2027 상반기 완비, ③ 베타 파이프라인(코호트 15곳·명명 베타 3곳)이 초기 유료 전환 기반을 형성.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수익 모델과 ARPU 근거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단건 리포트와 구독의 이중 구조로, 진입장벽은 낮추고 반복매출은 키웁니다. 가격 앵커는 인터뷰 단가가 아니라 </w:t>
      </w:r>
      <w:r>
        <w:rPr>
          <w:b/>
          <w:bCs/>
          <w:color w:val="0A1F4D"/>
          <w:sz w:val="24"/>
          <w:szCs w:val="24"/>
        </w:rPr>
        <w:t xml:space="preserve">진출 컨설팅 리포트(수백만~수천만원)</w:t>
      </w:r>
      <w:r>
        <w:rPr>
          <w:color w:val="1E293B"/>
          <w:sz w:val="24"/>
          <w:szCs w:val="24"/>
        </w:rPr>
        <w:t xml:space="preserve">입니다.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가격(원)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비중 추이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리포트 단건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스타트업·중소 브랜드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건당 30만원대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초기 30% → 15%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Starter 구독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브랜드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월 39만원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구독의 다수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Growth 구독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성장 브랜드·대행사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월 99만원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확대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Enterprise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대기업·MNC 아시아HQ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월 300만원~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후기 매출 견인</w:t>
            </w:r>
          </w:p>
        </w:tc>
      </w:tr>
    </w:tbl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블렌디드 ARPU 가정 (월, 원)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2027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2028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2029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블렌디드 ARPU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55만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68만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88만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구독 mix 상승 + Enterprise 편입 + 리포트 애드온</w:t>
            </w:r>
          </w:p>
        </w:tc>
      </w:tr>
    </w:tbl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단위경제.</w:t>
            </w:r>
            <w:r>
              <w:rPr>
                <w:color w:val="334155"/>
                <w:sz w:val="20"/>
                <w:szCs w:val="20"/>
              </w:rPr>
              <w:t xml:space="preserve"> 변동비 핵심은 LLM 추론비로, 티어별 예산 상한을 코드에 내장해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건별 원가를 통제</w:t>
            </w:r>
            <w:r>
              <w:rPr>
                <w:color w:val="334155"/>
                <w:sz w:val="20"/>
                <w:szCs w:val="20"/>
              </w:rPr>
              <w:t xml:space="preserve">합니다. 중장기 자체 인퍼런스·파인튜닝(NVIDIA Inception)으로 추론 원가를 낮춰 마진을 개선합니다. → 고객이 늘수록 데이터·정확도가 쌓이는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복리 구조</w:t>
            </w:r>
            <w:r>
              <w:rPr>
                <w:color w:val="334155"/>
                <w:sz w:val="20"/>
                <w:szCs w:val="20"/>
              </w:rPr>
              <w:t xml:space="preserve">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유료 고객 성장 예측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3개 획득 채널의 </w:t>
      </w:r>
      <w:r>
        <w:rPr>
          <w:b/>
          <w:bCs/>
          <w:color w:val="0A1F4D"/>
          <w:sz w:val="24"/>
          <w:szCs w:val="24"/>
        </w:rPr>
        <w:t xml:space="preserve">월별 신규 유입 − 이탈</w:t>
      </w:r>
      <w:r>
        <w:rPr>
          <w:color w:val="1E293B"/>
          <w:sz w:val="24"/>
          <w:szCs w:val="24"/>
        </w:rPr>
        <w:t xml:space="preserve">로 분기별 누적 유료 고객을 산출했습니다 (상향식).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획득 채널 &amp; 월 신규 가정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'27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'28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'29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인바운드(PLG)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베타→유료·인바운드·리포트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4→8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10→16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18→26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파트너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대행사·수출지원기관·액셀러레이터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3→7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8→15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16→24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Enterprise 세일즈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대기업·MNC 직접영업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1→2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2→4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4→7</w:t>
            </w:r>
          </w:p>
        </w:tc>
      </w:tr>
      <w:tr>
        <w:tc>
          <w:tcPr>
            <w:gridSpan w:val="2"/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월 신규 합계(분기 평균)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8→17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20→35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38→57</w:t>
            </w:r>
          </w:p>
        </w:tc>
      </w:tr>
    </w:tbl>
    <w:p>
      <w:pPr>
        <w:spacing w:after="90" w:before="0" w:line="264"/>
      </w:pPr>
      <w:r>
        <w:rPr>
          <w:color w:val="64748B"/>
          <w:sz w:val="17"/>
          <w:szCs w:val="17"/>
        </w:rPr>
        <w:t xml:space="preserve">이탈(월): 2027 3.5% → 2028 3.0% → 2029 2.5% 가정 (초기 B2B SaaS 평균 이내, 정확도·retention 개선 반영).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분기별 누적 유료 고객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2027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(H1 출시)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55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2028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80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110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145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185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2029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240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300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375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450</w:t>
            </w:r>
          </w:p>
        </w:tc>
      </w:tr>
    </w:tbl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근거의 출발점 = 베타 실증.</w:t>
            </w:r>
            <w:r>
              <w:rPr>
                <w:color w:val="334155"/>
                <w:sz w:val="20"/>
                <w:szCs w:val="20"/>
              </w:rPr>
              <w:t xml:space="preserve"> 르무통·FRONT2LINE·Juicy Brix 등 실브랜드가 이미 베타에서 진출 의사결정에 활용했습니다(별첨). 이는 초기 유료 전환·지불의사의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직접 증거</w:t>
            </w:r>
            <w:r>
              <w:rPr>
                <w:color w:val="334155"/>
                <w:sz w:val="20"/>
                <w:szCs w:val="20"/>
              </w:rPr>
              <w:t xml:space="preserve">이며, 2027 Q2 초기 15곳 가정의 실질 근거입니다.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매출 성장 예측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분기별 평균 활성 고객 × 블렌디드 ARPU로 인식 매출을, 연말 고객 × ARPU × 12로 ARR을 산출했습니다.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연말 유료고객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ARPU(월)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연간 인식매출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연말 ARR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YoY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2027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(H1 출시)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55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55만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1.5억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3.6억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2028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185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68만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8.5억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15.1억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+467%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2029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450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88만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29억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47.5억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+241%</w:t>
            </w:r>
          </w:p>
        </w:tc>
      </w:tr>
    </w:tbl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매출 규모 시각화 (연간 인식매출, 억원)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2027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1.5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2028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8.5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2029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29</w:t>
            </w:r>
          </w:p>
        </w:tc>
      </w:tr>
    </w:tbl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매출 구성 추이 (구독 vs 리포트)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2027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2028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2029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구독(반복) 매출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70%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80%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85%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리포트(단건) 매출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30%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20%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90" w:before="0" w:line="264"/>
      </w:pPr>
      <w:r>
        <w:rPr>
          <w:color w:val="64748B"/>
          <w:sz w:val="17"/>
          <w:szCs w:val="17"/>
        </w:rPr>
        <w:t xml:space="preserve">구독(반복) 비중이 커질수록 매출 예측 가능성·기업가치가 상승합니다. NRR(순확장) 105%+ 가정(업셀·티어상향).</w:t>
      </w:r>
    </w:p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예측 근거와 시나리오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핵심 가정과 근거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가정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초기 유료 고객(2027 Q2)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15곳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베타 실증(명명 3곳 + 코호트 15곳) 기반 전환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월 신규(2028 평균)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20~35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3개 채널 상향식 합산·파트너십 확대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월 이탈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2.5~3.5%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초기 B2B SaaS 평균 이내, retention 개선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블렌디드 ARPU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55~88만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구독 티어 mix + Enterprise 편입 + 리포트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NRR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105%+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업셀·티어 상향·사용량 증가</w:t>
            </w:r>
          </w:p>
        </w:tc>
      </w:tr>
    </w:tbl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시나리오 (2029 연간 매출)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유료고객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매출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전제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보수(−30%)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315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17억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파트너십 지연·전환 하회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기본(100%)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450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29억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본 예측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공격(+35%)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610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40억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아시아 허브·엔터프라이즈 조기 확보</w:t>
            </w:r>
          </w:p>
        </w:tc>
      </w:tr>
    </w:tbl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성장의 지속성.</w:t>
            </w:r>
            <w:r>
              <w:rPr>
                <w:color w:val="334155"/>
                <w:sz w:val="20"/>
                <w:szCs w:val="20"/>
              </w:rPr>
              <w:t xml:space="preserve"> 정확도↑ → 유지율·업셀↑ → LTV↑ → 재투자 → 정확도↑의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데이터 복리 선순환</w:t>
            </w:r>
            <w:r>
              <w:rPr>
                <w:color w:val="334155"/>
                <w:sz w:val="20"/>
                <w:szCs w:val="20"/>
              </w:rPr>
              <w:t xml:space="preserve">과, 아시아 24개국으로의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수평 확장</w:t>
            </w:r>
            <w:r>
              <w:rPr>
                <w:color w:val="334155"/>
                <w:sz w:val="20"/>
                <w:szCs w:val="20"/>
              </w:rPr>
              <w:t xml:space="preserve">이 2029년 이후에도 성장을 지지합니다. 기술적 우위(별첨 「기술 차별성·경쟁우위 입증자료」)가 이 성장의 토대입니다.</w:t>
            </w:r>
          </w:p>
        </w:tc>
      </w:tr>
    </w:tbl>
    <w:p>
      <w:pPr>
        <w:spacing w:after="90" w:before="0" w:line="264"/>
      </w:pPr>
      <w:r>
        <w:rPr>
          <w:color w:val="64748B"/>
          <w:sz w:val="17"/>
          <w:szCs w:val="17"/>
        </w:rPr>
        <w:t xml:space="preserve">* 본 수치는 명시된 가정에 기반한 추정이며, 시장·파트너십 진행에 따라 갱신됩니다. 회계상 확정치가 아닌 계획 목표입니다.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2026-08-02T11:12:57.931Z</dcterms:created>
  <dcterms:modified xsi:type="dcterms:W3CDTF">2026-08-02T11:12:57.932Z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