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509c531f9ff6e387284671af87ee7da551d13df"/>
    <w:p>
      <w:pPr>
        <w:pStyle w:val="Heading1"/>
      </w:pPr>
      <w:r>
        <w:t xml:space="preserve">AI Market Twin · One-Pager (Government &amp; Investor)</w:t>
      </w:r>
    </w:p>
    <w:p>
      <w:pPr>
        <w:pStyle w:val="FirstParagraph"/>
      </w:pPr>
      <w:r>
        <w:rPr>
          <w:b/>
          <w:bCs/>
        </w:rPr>
        <w:t xml:space="preserve">Predict the overseas success probability of a K-product before launch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Mr.AI Inc. (Market Twin)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Korean business no.</w:t>
            </w:r>
          </w:p>
        </w:tc>
        <w:tc>
          <w:tcPr/>
          <w:p>
            <w:pPr>
              <w:pStyle w:val="Compact"/>
            </w:pPr>
            <w:r>
              <w:t xml:space="preserve">693-87-03907 (incorporated May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Chris Lee · contact@markettwin.ai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https://www.markettwin.ai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Pre-launch (closed beta) · Business plan v4.5 (2026-05-17)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problem"/>
    <w:p>
      <w:pPr>
        <w:pStyle w:val="Heading2"/>
      </w:pPr>
      <w:r>
        <w:t xml:space="preserve">Problem</w:t>
      </w:r>
    </w:p>
    <w:p>
      <w:pPr>
        <w:pStyle w:val="BlockText"/>
      </w:pPr>
      <w:r>
        <w:rPr>
          <w:b/>
          <w:bCs/>
        </w:rPr>
        <w:t xml:space="preserve">Korean exporters: 1-year survival rate 49.2%, 5-year survival rate 16.3%.</w:t>
      </w:r>
    </w:p>
    <w:p>
      <w:pPr>
        <w:pStyle w:val="FirstParagraph"/>
      </w:pPr>
      <w:r>
        <w:t xml:space="preserve">The root cause is the absence of local-consumer pre-validation. Traditional market research costs ~₩1.3B (~$1M USD) and takes 6 months — effectively inaccessible to SMB exporters.</w:t>
      </w:r>
    </w:p>
    <w:bookmarkEnd w:id="9"/>
    <w:bookmarkStart w:id="10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rPr>
          <w:b/>
          <w:bCs/>
        </w:rPr>
        <w:t xml:space="preserve">Simulate AI consumer personas grounded in 24-country government open data</w:t>
      </w:r>
      <w:r>
        <w:t xml:space="preserve"> </w:t>
      </w:r>
      <w:r>
        <w:t xml:space="preserve">— complete market validation in 7-22 minutes for ₩0.4M-4M (~$300-3K).</w:t>
      </w:r>
      <w:r>
        <w:t xml:space="preserve"> </w:t>
      </w:r>
      <w:r>
        <w:rPr>
          <w:b/>
          <w:bCs/>
        </w:rPr>
        <w:t xml:space="preserve">1,000× faster, 300× cheaper</w:t>
      </w:r>
      <w:r>
        <w:t xml:space="preserve"> </w:t>
      </w:r>
      <w:r>
        <w:t xml:space="preserve">than traditional research.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24-country government statistics</w:t>
      </w:r>
      <w:r>
        <w:t xml:space="preserve"> </w:t>
      </w:r>
      <w:r>
        <w:t xml:space="preserve">live-grounded (KOSIS, BLS, e-Stat, Vietnam GSO, Indonesia BPS, 27 seeds total)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Multi-LLM ensemble</w:t>
      </w:r>
      <w:r>
        <w:t xml:space="preserve"> </w:t>
      </w:r>
      <w:r>
        <w:t xml:space="preserve">(Claude + OpenAI + DeepSeek round-robin) + 3-layer voice sanitizer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6-source external anchor stack</w:t>
      </w:r>
      <w:r>
        <w:t xml:space="preserve"> </w:t>
      </w:r>
      <w:r>
        <w:t xml:space="preserve">— Hofstede culture / World Bank macro / UN Comtrade / Korea Customs / DART financials &amp; region-revenue / KOTRA Korean-companies abroad</w:t>
      </w:r>
    </w:p>
    <w:bookmarkEnd w:id="10"/>
    <w:bookmarkStart w:id="11" w:name="X6b78c4a649d0d63813aa67015455aec299d11c4"/>
    <w:p>
      <w:pPr>
        <w:pStyle w:val="Heading2"/>
      </w:pPr>
      <w:r>
        <w:t xml:space="preserve">Measured &amp; Disclosed Accuracy (Phase F.1 result)</w:t>
      </w:r>
    </w:p>
    <w:p>
      <w:pPr>
        <w:pStyle w:val="BlockText"/>
      </w:pPr>
      <w:r>
        <w:rPr>
          <w:b/>
          <w:bCs/>
        </w:rPr>
        <w:t xml:space="preserve">First statistically significant win achieved (paired t-test p=0.0086 ✓)</w:t>
      </w:r>
    </w:p>
    <w:p>
      <w:pPr>
        <w:pStyle w:val="SourceCode"/>
      </w:pPr>
      <w:r>
        <w:rPr>
          <w:rStyle w:val="VerbatimChar"/>
        </w:rPr>
        <w:t xml:space="preserve">6-product paired benchmark, 2026-05-17</w:t>
      </w:r>
      <w:r>
        <w:br/>
      </w:r>
      <w:r>
        <w:rPr>
          <w:rStyle w:val="VerbatimChar"/>
        </w:rPr>
        <w:t xml:space="preserve">  Mean composite     72.0 / 100   (95% CI [61.7, 83.3])</w:t>
      </w:r>
      <w:r>
        <w:br/>
      </w:r>
      <w:r>
        <w:rPr>
          <w:rStyle w:val="VerbatimChar"/>
        </w:rPr>
        <w:t xml:space="preserve">  HOLDOUT n=2        75.4         (TUNING n=4: 70.4 — no overfit)</w:t>
      </w:r>
      <w:r>
        <w:br/>
      </w:r>
      <w:r>
        <w:rPr>
          <w:rStyle w:val="VerbatimChar"/>
        </w:rPr>
        <w:t xml:space="preserve">  vs v6 paired Δ     +17.4 pt     (p = 0.0086, significant at 95%)</w:t>
      </w:r>
      <w:r>
        <w:br/>
      </w:r>
      <w:r>
        <w:rPr>
          <w:rStyle w:val="VerbatimChar"/>
        </w:rPr>
        <w:t xml:space="preserve">  vs v0 baseline     +31.6 pt     (40.4 → 72.0, single-day arc)</w:t>
      </w:r>
    </w:p>
    <w:p>
      <w:pPr>
        <w:pStyle w:val="FirstParagraph"/>
      </w:pPr>
      <w:r>
        <w:t xml:space="preserve">Approaching the ≥80 production gate.</w:t>
      </w:r>
      <w:r>
        <w:t xml:space="preserve"> </w:t>
      </w:r>
      <w:r>
        <w:rPr>
          <w:b/>
          <w:bCs/>
        </w:rPr>
        <w:t xml:space="preserve">2 of 6 fixtures (LG OLED 84.1, KGC 96.4) already pass.</w:t>
      </w:r>
    </w:p>
    <w:p>
      <w:pPr>
        <w:pStyle w:val="BodyText"/>
      </w:pPr>
      <w:r>
        <w:t xml:space="preserve">5-metric self-scoring (top3Hit / rankCorrelation / rejectRecall / confidenceCalibration / trendMatch) + paired t-test + FDR + bootstrap CI — every result open-sourced on GitHub (https://github.com/hwlee1978/market-twin/tree/main/validation/results).</w:t>
      </w:r>
    </w:p>
    <w:bookmarkEnd w:id="11"/>
    <w:bookmarkStart w:id="12" w:name="differentiation"/>
    <w:p>
      <w:pPr>
        <w:pStyle w:val="Heading2"/>
      </w:pPr>
      <w:r>
        <w:t xml:space="preserve">Differentiation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Generic AI chatbot / Traditional research</w:t>
            </w:r>
          </w:p>
        </w:tc>
        <w:tc>
          <w:tcPr/>
          <w:p>
            <w:pPr>
              <w:pStyle w:val="Compact"/>
            </w:pPr>
            <w:r>
              <w:t xml:space="preserve">AI Market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grounding</w:t>
            </w:r>
          </w:p>
        </w:tc>
        <w:tc>
          <w:tcPr/>
          <w:p>
            <w:pPr>
              <w:pStyle w:val="Compact"/>
            </w:pPr>
            <w:r>
              <w:t xml:space="preserve">General web training</w:t>
            </w:r>
          </w:p>
        </w:tc>
        <w:tc>
          <w:tcPr/>
          <w:p>
            <w:pPr>
              <w:pStyle w:val="Compact"/>
            </w:pPr>
            <w:r>
              <w:t xml:space="preserve">24-country official statistics + 6 anchors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traceability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Every persona statement → cited statistic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disclosure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paired t-test, FDR, 5-metric weekly measurement &amp; public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· time</w:t>
            </w:r>
          </w:p>
        </w:tc>
        <w:tc>
          <w:tcPr/>
          <w:p>
            <w:pPr>
              <w:pStyle w:val="Compact"/>
            </w:pPr>
            <w:r>
              <w:t xml:space="preserve">₩1.3B · 6 months</w:t>
            </w:r>
          </w:p>
        </w:tc>
        <w:tc>
          <w:tcPr/>
          <w:p>
            <w:pPr>
              <w:pStyle w:val="Compact"/>
            </w:pPr>
            <w:r>
              <w:t xml:space="preserve">₩4M · 22 minutes</w:t>
            </w:r>
          </w:p>
        </w:tc>
      </w:tr>
    </w:tbl>
    <w:bookmarkEnd w:id="12"/>
    <w:bookmarkStart w:id="13" w:name="market-business-model"/>
    <w:p>
      <w:pPr>
        <w:pStyle w:val="Heading2"/>
      </w:pPr>
      <w:r>
        <w:t xml:space="preserve">Market + Business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market research TAM</w:t>
      </w:r>
      <w:r>
        <w:t xml:space="preserve">: $7.97B (2025) → $16.80B (2030), CAGR 16.1%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K-Beauty + K-Food overseas</w:t>
      </w:r>
      <w:r>
        <w:t xml:space="preserve">: ~₩31T /</w:t>
      </w:r>
      <w:r>
        <w:t xml:space="preserve"> </w:t>
      </w:r>
      <w:r>
        <w:rPr>
          <w:b/>
          <w:bCs/>
        </w:rPr>
        <w:t xml:space="preserve">K-Content</w:t>
      </w:r>
      <w:r>
        <w:t xml:space="preserve">: ₩16T+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</w:t>
      </w:r>
      <w:r>
        <w:t xml:space="preserve">: SaaS subscription ₩290k-1.49M (4-tier) + enterprise consulting + API licensing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Customers</w:t>
      </w:r>
      <w:r>
        <w:t xml:space="preserve">: SMB exporters + government/public agencies (KOTRA-style) + global K-product brands</w:t>
      </w:r>
    </w:p>
    <w:bookmarkEnd w:id="13"/>
    <w:bookmarkStart w:id="14" w:name="X825f58dba3c625fd9d7bdb7fe3e9362de92ae02"/>
    <w:p>
      <w:pPr>
        <w:pStyle w:val="Heading2"/>
      </w:pPr>
      <w:r>
        <w:t xml:space="preserve">Government Suitability (2026 AI+ OpenData Challenge Applicant)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no.</w:t>
            </w:r>
          </w:p>
        </w:tc>
        <w:tc>
          <w:tcPr/>
          <w:p>
            <w:pPr>
              <w:pStyle w:val="Compact"/>
            </w:pPr>
            <w:r>
              <w:t xml:space="preserve">20457281 (Market Entry Strategy Recommendation)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Integrate KORIA + KOSME data → K-export policy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governance</w:t>
            </w:r>
          </w:p>
        </w:tc>
        <w:tc>
          <w:tcPr/>
          <w:p>
            <w:pPr>
              <w:pStyle w:val="Compact"/>
            </w:pPr>
            <w:r>
              <w:t xml:space="preserve">Self-built accuracy measurement infra (only applicant with auditable accuracy)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Demonstrability</w:t>
            </w:r>
          </w:p>
        </w:tc>
        <w:tc>
          <w:tcPr/>
          <w:p>
            <w:pPr>
              <w:pStyle w:val="Compact"/>
            </w:pPr>
            <w:r>
              <w:t xml:space="preserve">v7 mean 72.0, paired p=0.0086 — not</w:t>
            </w:r>
            <w:r>
              <w:t xml:space="preserve"> </w:t>
            </w:r>
            <w:r>
              <w:t xml:space="preserve">“claimed”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accuracy</w:t>
            </w:r>
          </w:p>
        </w:tc>
      </w:tr>
    </w:tbl>
    <w:bookmarkEnd w:id="14"/>
    <w:bookmarkStart w:id="15" w:name="team-infrastructure"/>
    <w:p>
      <w:pPr>
        <w:pStyle w:val="Heading2"/>
      </w:pPr>
      <w:r>
        <w:t xml:space="preserve">Team &amp; Infrastructure</w:t>
      </w:r>
    </w:p>
    <w:p>
      <w:pPr>
        <w:pStyle w:val="Compact"/>
        <w:numPr>
          <w:ilvl w:val="0"/>
          <w:numId w:val="1003"/>
        </w:numPr>
      </w:pPr>
      <w:r>
        <w:t xml:space="preserve">Chris Lee (CEO/CTO) — sole full-stack + AI simulation system architect</w:t>
      </w:r>
    </w:p>
    <w:p>
      <w:pPr>
        <w:pStyle w:val="Compact"/>
        <w:numPr>
          <w:ilvl w:val="0"/>
          <w:numId w:val="1003"/>
        </w:numPr>
      </w:pPr>
      <w:r>
        <w:t xml:space="preserve">Stack: Next.js + Supabase + multi-LLM (Claude/OpenAI/DeepSeek) + Vercel + Cloud Run worker</w:t>
      </w:r>
    </w:p>
    <w:p>
      <w:pPr>
        <w:pStyle w:val="Compact"/>
        <w:numPr>
          <w:ilvl w:val="0"/>
          <w:numId w:val="1003"/>
        </w:numPr>
      </w:pPr>
      <w:r>
        <w:t xml:space="preserve">Certifications roadmap: ISMS-P 2027 Q2, ISO 27001 2027 Q3</w:t>
      </w:r>
    </w:p>
    <w:p>
      <w:pPr>
        <w:pStyle w:val="Compact"/>
        <w:numPr>
          <w:ilvl w:val="0"/>
          <w:numId w:val="1003"/>
        </w:numPr>
      </w:pPr>
      <w:r>
        <w:t xml:space="preserve">AI responsibility: NIST AI RMF · EU AI Act · OECD AI Principles · Korean AI Ethics Guidelines compliant</w:t>
      </w:r>
    </w:p>
    <w:bookmarkEnd w:id="15"/>
    <w:bookmarkStart w:id="16" w:name="ask"/>
    <w:p>
      <w:pPr>
        <w:pStyle w:val="Heading2"/>
      </w:pPr>
      <w:r>
        <w:t xml:space="preserve">Ask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Government / public agencies</w:t>
      </w:r>
      <w:r>
        <w:t xml:space="preserve">: 2026 AI+ OpenData Challenge selection → 6-month KORIA/KOSME integration + 10-company beta demonstration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Investors</w:t>
      </w:r>
      <w:r>
        <w:t xml:space="preserve">: Seed round (12-month runway to 80-point accuracy gate + 10 paid pilots)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K-product brands</w:t>
      </w:r>
      <w:r>
        <w:t xml:space="preserve">: Pre-launch validation beta participation (KOTRA-style gov-buyer referrals welcome)</w:t>
      </w:r>
    </w:p>
    <w:bookmarkEnd w:id="16"/>
    <w:bookmarkStart w:id="17" w:name="learn-more"/>
    <w:p>
      <w:pPr>
        <w:pStyle w:val="Heading2"/>
      </w:pPr>
      <w:r>
        <w:t xml:space="preserve">Learn More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 /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site</w:t>
            </w:r>
          </w:p>
        </w:tc>
        <w:tc>
          <w:tcPr/>
          <w:p>
            <w:pPr>
              <w:pStyle w:val="Compact"/>
            </w:pPr>
            <w:r>
              <w:t xml:space="preserve">https://www.markettwin.ai/en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 + accuracy disclosure</w:t>
            </w:r>
          </w:p>
        </w:tc>
        <w:tc>
          <w:tcPr/>
          <w:p>
            <w:pPr>
              <w:pStyle w:val="Compact"/>
            </w:pPr>
            <w:r>
              <w:t xml:space="preserve">https://www.markettwin.ai/methodology-en.html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+ AI responsibility</w:t>
            </w:r>
          </w:p>
        </w:tc>
        <w:tc>
          <w:tcPr/>
          <w:p>
            <w:pPr>
              <w:pStyle w:val="Compact"/>
            </w:pPr>
            <w:r>
              <w:t xml:space="preserve">https://www.markettwin.ai/trust-en.html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plan v4.5 (full)</w:t>
            </w:r>
          </w:p>
        </w:tc>
        <w:tc>
          <w:tcPr/>
          <w:p>
            <w:pPr>
              <w:pStyle w:val="Compact"/>
            </w:pPr>
            <w:r>
              <w:t xml:space="preserve">proposals/MarketTwin_BusinessPlan_v4_5.docx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F accuracy trajectory</w:t>
            </w:r>
          </w:p>
        </w:tc>
        <w:tc>
          <w:tcPr/>
          <w:p>
            <w:pPr>
              <w:pStyle w:val="Compact"/>
            </w:pPr>
            <w:r>
              <w:t xml:space="preserve">validation/results/PHASE_F_TRAJECTORY.md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design lessons</w:t>
            </w:r>
          </w:p>
        </w:tc>
        <w:tc>
          <w:tcPr/>
          <w:p>
            <w:pPr>
              <w:pStyle w:val="Compact"/>
            </w:pPr>
            <w:r>
              <w:t xml:space="preserve">validation/results/ANCHOR_DESIGN_LESSONS.md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“Recommend a K-product’s next market — with data, not guesses.”</w:t>
      </w:r>
      <w:r>
        <w:t xml:space="preserve"> </w:t>
      </w:r>
      <w:r>
        <w:t xml:space="preserve">contact@markettwin.ai · https://www.markettwin.ai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2026-05-17T19:21:45Z</dcterms:created>
  <dcterms:modified xsi:type="dcterms:W3CDTF">2026-05-17T19:21:45Z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