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A862B4" w14:textId="77777777" w:rsidR="0044551E" w:rsidRPr="00654774" w:rsidRDefault="00056E9B">
      <w:r w:rsidRPr="00654774">
        <w:t>Tentative title:</w:t>
      </w:r>
    </w:p>
    <w:p w14:paraId="76DF65E2" w14:textId="77777777" w:rsidR="0025261B" w:rsidRPr="00654774" w:rsidRDefault="00056E9B">
      <w:r w:rsidRPr="00654774">
        <w:t>Interactive effect</w:t>
      </w:r>
      <w:r w:rsidR="003C387B" w:rsidRPr="00654774">
        <w:t>s</w:t>
      </w:r>
      <w:r w:rsidRPr="00654774">
        <w:t xml:space="preserve"> </w:t>
      </w:r>
      <w:r w:rsidR="003C387B" w:rsidRPr="00654774">
        <w:t>on</w:t>
      </w:r>
      <w:r w:rsidRPr="00654774">
        <w:t xml:space="preserve"> </w:t>
      </w:r>
      <w:r w:rsidR="003C387B" w:rsidRPr="00654774">
        <w:t>carbon flux</w:t>
      </w:r>
      <w:r w:rsidR="0044551E" w:rsidRPr="00654774">
        <w:t xml:space="preserve"> and pool</w:t>
      </w:r>
      <w:r w:rsidR="003C387B" w:rsidRPr="00654774">
        <w:t xml:space="preserve"> between nitrogen addition and water availabilities</w:t>
      </w:r>
      <w:r w:rsidR="0044551E" w:rsidRPr="00654774">
        <w:t xml:space="preserve"> in a boreal </w:t>
      </w:r>
      <w:r w:rsidR="0044551E" w:rsidRPr="00654774">
        <w:rPr>
          <w:i/>
        </w:rPr>
        <w:t xml:space="preserve">Pinus </w:t>
      </w:r>
      <w:proofErr w:type="spellStart"/>
      <w:r w:rsidR="0044551E" w:rsidRPr="00654774">
        <w:rPr>
          <w:i/>
        </w:rPr>
        <w:t>sylvestris</w:t>
      </w:r>
      <w:proofErr w:type="spellEnd"/>
      <w:r w:rsidR="0044551E" w:rsidRPr="00654774">
        <w:t xml:space="preserve"> forest</w:t>
      </w:r>
      <w:r w:rsidR="003C387B" w:rsidRPr="00654774">
        <w:t>.</w:t>
      </w:r>
    </w:p>
    <w:p w14:paraId="73548EC7" w14:textId="120FEE54" w:rsidR="003C387B" w:rsidRDefault="003C387B"/>
    <w:p w14:paraId="0836C5C4" w14:textId="48E11454" w:rsidR="004B5C80" w:rsidRDefault="004B5C80">
      <w:r>
        <w:t xml:space="preserve">Hyungwoo Lim, </w:t>
      </w:r>
      <w:r w:rsidR="004F0A1C">
        <w:t xml:space="preserve">Ram Oren, </w:t>
      </w:r>
      <w:proofErr w:type="spellStart"/>
      <w:r>
        <w:t>Torgny</w:t>
      </w:r>
      <w:proofErr w:type="spellEnd"/>
      <w:r>
        <w:t xml:space="preserve"> </w:t>
      </w:r>
      <w:proofErr w:type="spellStart"/>
      <w:r>
        <w:t>Näsholm</w:t>
      </w:r>
      <w:proofErr w:type="spellEnd"/>
      <w:r>
        <w:t xml:space="preserve">, John Marshall, Alex XXX, </w:t>
      </w:r>
      <w:proofErr w:type="spellStart"/>
      <w:r>
        <w:t>Sune</w:t>
      </w:r>
      <w:proofErr w:type="spellEnd"/>
      <w:r>
        <w:t xml:space="preserve"> Linder, Tomas </w:t>
      </w:r>
      <w:proofErr w:type="spellStart"/>
      <w:r>
        <w:t>Lundmark</w:t>
      </w:r>
      <w:proofErr w:type="spellEnd"/>
      <w:r>
        <w:t>.</w:t>
      </w:r>
    </w:p>
    <w:p w14:paraId="3E9F29BF" w14:textId="77777777" w:rsidR="004B5C80" w:rsidRPr="00654774" w:rsidRDefault="004B5C80"/>
    <w:p w14:paraId="0DF655EB" w14:textId="77777777" w:rsidR="00056E9B" w:rsidRPr="00654774" w:rsidRDefault="0044551E">
      <w:r w:rsidRPr="00654774">
        <w:t>Background</w:t>
      </w:r>
    </w:p>
    <w:p w14:paraId="3E4AC1F5" w14:textId="09D13207" w:rsidR="0044551E" w:rsidRPr="00654774" w:rsidRDefault="004F0A1C">
      <w:r>
        <w:t xml:space="preserve">Interannual variation of local weather conditions has been increased. This increased variation can modify carbon cycling in boreal forests, especially in response to nitrogen fertilization. </w:t>
      </w:r>
    </w:p>
    <w:p w14:paraId="54FFA693" w14:textId="3649BAD5" w:rsidR="0044551E" w:rsidRDefault="00B10656">
      <w:r>
        <w:t>In planning and managing forests, and understanding ecosystem carbon balance, it is essentially important task to understand</w:t>
      </w:r>
      <w:r w:rsidR="004F0A1C">
        <w:t xml:space="preserve"> the </w:t>
      </w:r>
      <w:r>
        <w:t>mechanisms behind the carbon balance in response to the interaction between nutrient availability and local climate variations,</w:t>
      </w:r>
      <w:r w:rsidR="004F0A1C">
        <w:t xml:space="preserve"> and what degree</w:t>
      </w:r>
      <w:r>
        <w:t xml:space="preserve"> to which</w:t>
      </w:r>
      <w:r w:rsidR="004F0A1C">
        <w:t xml:space="preserve"> </w:t>
      </w:r>
      <w:r>
        <w:t>the ecosystem responds to the interaction.</w:t>
      </w:r>
    </w:p>
    <w:p w14:paraId="0E7D545F" w14:textId="77777777" w:rsidR="004F0A1C" w:rsidRPr="00654774" w:rsidRDefault="004F0A1C"/>
    <w:p w14:paraId="6EA635AF" w14:textId="77777777" w:rsidR="0044551E" w:rsidRPr="00654774" w:rsidRDefault="0044551E">
      <w:r w:rsidRPr="00654774">
        <w:t>What was done</w:t>
      </w:r>
    </w:p>
    <w:p w14:paraId="79666412" w14:textId="6146C902" w:rsidR="0044551E" w:rsidRDefault="00B10656">
      <w:r>
        <w:t>We estimated</w:t>
      </w:r>
      <w:r w:rsidR="00F46C27">
        <w:t xml:space="preserve"> 13 years of</w:t>
      </w:r>
      <w:r>
        <w:t xml:space="preserve"> net primary production of woody biomass</w:t>
      </w:r>
      <w:r w:rsidR="00F46C27">
        <w:t xml:space="preserve"> (NPP</w:t>
      </w:r>
      <w:r w:rsidR="00F46C27" w:rsidRPr="00F46C27">
        <w:rPr>
          <w:vertAlign w:val="subscript"/>
        </w:rPr>
        <w:t>W</w:t>
      </w:r>
      <w:r w:rsidR="00F46C27">
        <w:t>)</w:t>
      </w:r>
      <w:r>
        <w:t xml:space="preserve"> in reference and N-fertilized plots</w:t>
      </w:r>
      <w:r w:rsidR="00F46C27">
        <w:t xml:space="preserve"> (7.3 g N m</w:t>
      </w:r>
      <w:r w:rsidR="00F46C27" w:rsidRPr="00F46C27">
        <w:rPr>
          <w:vertAlign w:val="superscript"/>
        </w:rPr>
        <w:t>-2</w:t>
      </w:r>
      <w:r w:rsidR="00F46C27">
        <w:t xml:space="preserve"> yr</w:t>
      </w:r>
      <w:r w:rsidR="00F46C27" w:rsidRPr="00F46C27">
        <w:rPr>
          <w:vertAlign w:val="superscript"/>
        </w:rPr>
        <w:t>-1</w:t>
      </w:r>
      <w:r w:rsidR="00F46C27">
        <w:t>)</w:t>
      </w:r>
      <w:r>
        <w:t xml:space="preserve"> in a </w:t>
      </w:r>
      <w:r>
        <w:t xml:space="preserve">90-year-old </w:t>
      </w:r>
      <w:r w:rsidRPr="00B10656">
        <w:rPr>
          <w:i/>
        </w:rPr>
        <w:t xml:space="preserve">Pinus </w:t>
      </w:r>
      <w:proofErr w:type="spellStart"/>
      <w:r w:rsidRPr="00B10656">
        <w:rPr>
          <w:i/>
        </w:rPr>
        <w:t>sylvestris</w:t>
      </w:r>
      <w:proofErr w:type="spellEnd"/>
      <w:r>
        <w:t xml:space="preserve"> stand</w:t>
      </w:r>
      <w:r>
        <w:t>.</w:t>
      </w:r>
    </w:p>
    <w:p w14:paraId="6819FD26" w14:textId="77777777" w:rsidR="0044551E" w:rsidRPr="00654774" w:rsidRDefault="0044551E"/>
    <w:p w14:paraId="48118953" w14:textId="77777777" w:rsidR="0044551E" w:rsidRPr="00654774" w:rsidRDefault="0044551E">
      <w:r w:rsidRPr="00654774">
        <w:t>What was found</w:t>
      </w:r>
    </w:p>
    <w:p w14:paraId="63CE0BEB" w14:textId="16F3B690" w:rsidR="00A34CC1" w:rsidRDefault="00F46C27">
      <w:r>
        <w:t>The NPP</w:t>
      </w:r>
      <w:r w:rsidRPr="00F46C27">
        <w:rPr>
          <w:vertAlign w:val="subscript"/>
        </w:rPr>
        <w:t>W</w:t>
      </w:r>
      <w:r>
        <w:t xml:space="preserve"> was 50% greater under N-fertilized plot relative to that in the reference. The variation of production was explained by annual precipitation. </w:t>
      </w:r>
    </w:p>
    <w:p w14:paraId="1EAF5E4C" w14:textId="00044E34" w:rsidR="00F46C27" w:rsidRPr="00654774" w:rsidRDefault="00F46C27">
      <w:r>
        <w:t xml:space="preserve">Fine-root biomass was similar between the two treatments, implying that decreased C partitioning to the belowground in the N-fertilized plot, and that decline became similar relative to reference plot in the dry year. </w:t>
      </w:r>
      <w:bookmarkStart w:id="0" w:name="_GoBack"/>
      <w:bookmarkEnd w:id="0"/>
    </w:p>
    <w:p w14:paraId="72AC1D3F" w14:textId="77777777" w:rsidR="00A34CC1" w:rsidRPr="00654774" w:rsidRDefault="00A34CC1"/>
    <w:p w14:paraId="4FEAE2C9" w14:textId="77777777" w:rsidR="0044551E" w:rsidRPr="00654774" w:rsidRDefault="0044551E">
      <w:r w:rsidRPr="00654774">
        <w:t>Implications</w:t>
      </w:r>
      <w:r w:rsidRPr="00654774">
        <w:br w:type="page"/>
      </w:r>
    </w:p>
    <w:p w14:paraId="010B1E40" w14:textId="77777777" w:rsidR="00056E9B" w:rsidRPr="00654774" w:rsidRDefault="0044551E">
      <w:pPr>
        <w:rPr>
          <w:b/>
        </w:rPr>
      </w:pPr>
      <w:r w:rsidRPr="00654774">
        <w:rPr>
          <w:b/>
        </w:rPr>
        <w:lastRenderedPageBreak/>
        <w:t>Introduction</w:t>
      </w:r>
    </w:p>
    <w:p w14:paraId="2FFEF147" w14:textId="2CB1F3FF" w:rsidR="00AA434D" w:rsidRDefault="000F39F9" w:rsidP="00AA434D">
      <w:r>
        <w:t>Nitrogen fertilization in boreal forests has been applied broadly and credited with increasing biomass production ()</w:t>
      </w:r>
    </w:p>
    <w:p w14:paraId="7941D01E" w14:textId="77777777" w:rsidR="000F39F9" w:rsidRDefault="000F39F9" w:rsidP="00AA434D"/>
    <w:p w14:paraId="4D30AE61" w14:textId="4374F758" w:rsidR="000F39F9" w:rsidRDefault="000F39F9" w:rsidP="00AA434D">
      <w:r>
        <w:t xml:space="preserve">Forest biomass production is the outcome of the amount of absorbed radiation and its utilization into carbohydrate and further into biomass. </w:t>
      </w:r>
    </w:p>
    <w:p w14:paraId="79CF7404" w14:textId="77777777" w:rsidR="000F39F9" w:rsidRDefault="000F39F9" w:rsidP="00AA434D"/>
    <w:p w14:paraId="6C39D8DB" w14:textId="77777777" w:rsidR="00B44EE8" w:rsidRDefault="00037D19" w:rsidP="00037D19">
      <w:r>
        <w:t xml:space="preserve">Biomass production is determined by the amount of canopy-captured photosynthetically active radiation (PAR) and efficiencies with which the captured PAR is converted into taken up CO2 into biomass. </w:t>
      </w:r>
    </w:p>
    <w:p w14:paraId="6FE09142" w14:textId="69CCADF1" w:rsidR="00037D19" w:rsidRDefault="00037D19" w:rsidP="00037D19">
      <w:r>
        <w:t>Those two process-sites, the capacity of canopy CO2 uptake, and the efficiency of using and partitioning the taken-up C, is largely dependent on water and nutrient availabilities, and thus limited supply of these resources can drastically reduce production of forest biomass.</w:t>
      </w:r>
    </w:p>
    <w:p w14:paraId="153173A9" w14:textId="77777777" w:rsidR="00037D19" w:rsidRDefault="00037D19" w:rsidP="00037D19">
      <w:pPr>
        <w:ind w:firstLine="720"/>
      </w:pPr>
    </w:p>
    <w:p w14:paraId="252ED66A" w14:textId="77777777" w:rsidR="00037D19" w:rsidRPr="00AA434D" w:rsidRDefault="00037D19" w:rsidP="00037D19"/>
    <w:p w14:paraId="10E466F2" w14:textId="77777777" w:rsidR="00037D19" w:rsidRPr="00AA434D" w:rsidRDefault="00037D19" w:rsidP="00037D19">
      <w:r w:rsidRPr="00654774">
        <w:t>In the previous stud</w:t>
      </w:r>
      <w:r>
        <w:t>y based on eight years observation</w:t>
      </w:r>
      <w:r w:rsidRPr="00654774">
        <w:t xml:space="preserve">, </w:t>
      </w:r>
      <w:r>
        <w:t xml:space="preserve">we have clearly shown that water availability strongly determined the efficacy of fertilization on wood biomass production through increased aboveground C partitioning at the expense of reduction of belowground with no change in total net primary production (Lim et al. 2015). The study has been extended until now, during which the stand experienced a larger variation of water availability including a severe drought in 2018. Taking this opportunity, </w:t>
      </w:r>
    </w:p>
    <w:p w14:paraId="254DFB80" w14:textId="77777777" w:rsidR="00037D19" w:rsidRDefault="00037D19" w:rsidP="00037D19"/>
    <w:p w14:paraId="3BB63012" w14:textId="77777777" w:rsidR="00037D19" w:rsidRPr="00AC1E9D" w:rsidRDefault="00037D19" w:rsidP="00037D19">
      <w:r>
        <w:t xml:space="preserve">Here we are revisiting this stand with data complimented with gross primary production from the eddy covariance technique, sap-flux modeling, and process based modeling, and net </w:t>
      </w:r>
      <w:r>
        <w:lastRenderedPageBreak/>
        <w:t xml:space="preserve">primary production from additional destructive biomass samplings. The advances of this re-visited study is </w:t>
      </w:r>
    </w:p>
    <w:p w14:paraId="705C3EAA" w14:textId="77777777" w:rsidR="00037D19" w:rsidRDefault="00037D19" w:rsidP="00AA434D"/>
    <w:p w14:paraId="099426F8" w14:textId="3C5F1A7E" w:rsidR="007A6496" w:rsidRDefault="007A6496" w:rsidP="007A6496">
      <w:r>
        <w:t>Biomass production</w:t>
      </w:r>
    </w:p>
    <w:p w14:paraId="2788363B" w14:textId="4319158D" w:rsidR="007A6496" w:rsidRDefault="007A6496" w:rsidP="007A6496">
      <w:r>
        <w:t>The effect of climate variability on biomass production via shifting efficiencies and total carbon uptake</w:t>
      </w:r>
    </w:p>
    <w:p w14:paraId="345C952B" w14:textId="77777777" w:rsidR="007A6496" w:rsidRDefault="007A6496" w:rsidP="007A6496"/>
    <w:p w14:paraId="0D28C88C" w14:textId="53FD52BA" w:rsidR="007A6496" w:rsidRDefault="007A6496" w:rsidP="00AA434D"/>
    <w:p w14:paraId="385B9817" w14:textId="1EBBC0A7" w:rsidR="007A6496" w:rsidRDefault="007A6496" w:rsidP="00AA434D"/>
    <w:p w14:paraId="23DA8396" w14:textId="77777777" w:rsidR="007A6496" w:rsidRDefault="007A6496" w:rsidP="00AA434D"/>
    <w:p w14:paraId="17E32891" w14:textId="7F61DD79" w:rsidR="004B5C80" w:rsidRDefault="00894131" w:rsidP="00AA434D">
      <w:r>
        <w:t>Increased variations of precipitation and temperature are projected.</w:t>
      </w:r>
    </w:p>
    <w:p w14:paraId="4AEFD345" w14:textId="77777777" w:rsidR="00894131" w:rsidRDefault="00894131" w:rsidP="00894131">
      <w:r>
        <w:t xml:space="preserve">Boreal forests are largest carbon (C) pools in terrestrial ecosystem. </w:t>
      </w:r>
    </w:p>
    <w:p w14:paraId="687A79B1" w14:textId="1DCD042B" w:rsidR="00894131" w:rsidRDefault="00894131" w:rsidP="00AA434D">
      <w:r>
        <w:t>Shifting C balance due to ecosystem responses to climate variation can cause global C balance.</w:t>
      </w:r>
    </w:p>
    <w:p w14:paraId="5D259FFD" w14:textId="3F706B7F" w:rsidR="00894131" w:rsidRDefault="00894131" w:rsidP="00AA434D">
      <w:r>
        <w:t xml:space="preserve">Although the annual growth of boreal forests is relatively small and thus importance of the C balance could be disregarded, in other way, small shift between C uptake and respiration can cause a great release or uptake of C fluxes. </w:t>
      </w:r>
    </w:p>
    <w:p w14:paraId="574333E0" w14:textId="390C9C99" w:rsidR="00894131" w:rsidRDefault="00894131" w:rsidP="00AA434D"/>
    <w:p w14:paraId="33E06470" w14:textId="1A07456E" w:rsidR="00894131" w:rsidRDefault="00894131" w:rsidP="00AA434D">
      <w:r>
        <w:t xml:space="preserve">Water limitation has been disregarded in boreal forests because spring snow melt supplies enough water in these ecosystems, and in part, requirement for water is relatively small due to the low capacity of gross primary production and net primary production. However, studies revealed that increased growth by alleviating nutrient limitation </w:t>
      </w:r>
      <w:r w:rsidR="00095318">
        <w:t>encounters increased water requirement.</w:t>
      </w:r>
    </w:p>
    <w:p w14:paraId="2D0BDABD" w14:textId="706CA38D" w:rsidR="00894131" w:rsidRDefault="00894131" w:rsidP="00AA434D">
      <w:r>
        <w:t>Recent studies revealed that variation of water availability limits potential of NPP in boreal forests, by shifting C partitioning pattern between above- and belowground.</w:t>
      </w:r>
    </w:p>
    <w:p w14:paraId="638D7626" w14:textId="77777777" w:rsidR="00894131" w:rsidRDefault="00894131" w:rsidP="00AA434D"/>
    <w:p w14:paraId="45775855" w14:textId="0196F935" w:rsidR="00AA434D" w:rsidRDefault="00240BFC" w:rsidP="00AA434D">
      <w:r>
        <w:t>Although water limitation has been disregarded in boreal forests due to an ample water supply from snow melting, w</w:t>
      </w:r>
      <w:r w:rsidR="00AA434D">
        <w:t xml:space="preserve">ith </w:t>
      </w:r>
      <w:r>
        <w:t xml:space="preserve">recent </w:t>
      </w:r>
      <w:r w:rsidR="00774682">
        <w:t xml:space="preserve">drought </w:t>
      </w:r>
      <w:r>
        <w:t>events</w:t>
      </w:r>
      <w:r w:rsidR="00AA434D">
        <w:t>, concerns</w:t>
      </w:r>
      <w:r w:rsidR="00774682">
        <w:t xml:space="preserve"> have </w:t>
      </w:r>
      <w:r>
        <w:t>risen</w:t>
      </w:r>
      <w:r w:rsidR="00AA434D">
        <w:t xml:space="preserve"> on ecosystem responses to such </w:t>
      </w:r>
      <w:r w:rsidR="00774682">
        <w:t>event</w:t>
      </w:r>
      <w:r>
        <w:t>s</w:t>
      </w:r>
      <w:r w:rsidR="00774682">
        <w:t xml:space="preserve">. </w:t>
      </w:r>
      <w:r>
        <w:t xml:space="preserve">Indeed, recent </w:t>
      </w:r>
      <w:r w:rsidR="00774682">
        <w:t>studies</w:t>
      </w:r>
      <w:r>
        <w:t xml:space="preserve"> accumulate </w:t>
      </w:r>
      <w:r w:rsidR="00774682">
        <w:t xml:space="preserve">the evidence of water limitation </w:t>
      </w:r>
      <w:r>
        <w:t>induced reduction of forest production</w:t>
      </w:r>
      <w:r w:rsidR="006B7F1A">
        <w:t xml:space="preserve">, </w:t>
      </w:r>
      <w:r w:rsidR="001A17EB">
        <w:t>highlighting an urgent need to improve our understandings of ecosystem responses to drought and</w:t>
      </w:r>
      <w:r>
        <w:t xml:space="preserve"> its</w:t>
      </w:r>
      <w:r w:rsidR="001A17EB">
        <w:t xml:space="preserve"> mechanisms involved.</w:t>
      </w:r>
    </w:p>
    <w:p w14:paraId="6F81C7B4" w14:textId="6C287F89" w:rsidR="00774682" w:rsidRDefault="001A17EB" w:rsidP="001A17EB">
      <w:pPr>
        <w:ind w:firstLine="720"/>
      </w:pPr>
      <w:r>
        <w:t>In classical</w:t>
      </w:r>
      <w:r w:rsidR="006B7F1A">
        <w:t xml:space="preserve"> </w:t>
      </w:r>
      <w:r w:rsidR="00774682">
        <w:t>forest growth model</w:t>
      </w:r>
      <w:r>
        <w:t>s,</w:t>
      </w:r>
      <w:r w:rsidR="00774682">
        <w:t xml:space="preserve"> biomass production is determined by the amount of</w:t>
      </w:r>
      <w:r w:rsidR="006B7F1A">
        <w:t xml:space="preserve"> canopy-captured</w:t>
      </w:r>
      <w:r w:rsidR="00774682">
        <w:t xml:space="preserve"> incoming solar </w:t>
      </w:r>
      <w:r w:rsidR="006B7F1A">
        <w:t>radiation</w:t>
      </w:r>
      <w:r>
        <w:t xml:space="preserve"> and efficiencies of using the captured energy in converting </w:t>
      </w:r>
      <w:r w:rsidR="006B7F1A">
        <w:t>taken up CO2</w:t>
      </w:r>
      <w:r>
        <w:t xml:space="preserve"> </w:t>
      </w:r>
      <w:r w:rsidR="006B7F1A">
        <w:t xml:space="preserve">into biomass. </w:t>
      </w:r>
      <w:r w:rsidR="005B6595">
        <w:t>Those two process</w:t>
      </w:r>
      <w:r w:rsidR="00240BFC">
        <w:t>-</w:t>
      </w:r>
      <w:r w:rsidR="005B6595">
        <w:t xml:space="preserve">sites, </w:t>
      </w:r>
      <w:r w:rsidR="00240BFC">
        <w:t xml:space="preserve">the </w:t>
      </w:r>
      <w:r w:rsidR="005B6595">
        <w:t xml:space="preserve">capacity of canopy CO2 uptake, and </w:t>
      </w:r>
      <w:r w:rsidR="00240BFC">
        <w:t xml:space="preserve">the </w:t>
      </w:r>
      <w:r w:rsidR="005B6595">
        <w:t>efficiency of using and partitioning the taken</w:t>
      </w:r>
      <w:r w:rsidR="00240BFC">
        <w:t>-</w:t>
      </w:r>
      <w:r w:rsidR="005B6595">
        <w:t>up C, is largely dependent on water and nutrient availabilities, and thus limited supply of these resources can drastically reduce production of forest biomass.</w:t>
      </w:r>
    </w:p>
    <w:p w14:paraId="68B195EA" w14:textId="77777777" w:rsidR="00240BFC" w:rsidRDefault="00240BFC" w:rsidP="001A17EB">
      <w:pPr>
        <w:ind w:firstLine="720"/>
      </w:pPr>
    </w:p>
    <w:p w14:paraId="3FEE32B6" w14:textId="77777777" w:rsidR="0044551E" w:rsidRPr="00AA434D" w:rsidRDefault="0044551E"/>
    <w:p w14:paraId="301C3E45" w14:textId="77777777" w:rsidR="00AC1E9D" w:rsidRPr="00AA434D" w:rsidRDefault="00654774">
      <w:r w:rsidRPr="00654774">
        <w:t>In the previous stud</w:t>
      </w:r>
      <w:r w:rsidR="00582A25">
        <w:t>y based on eight years observation</w:t>
      </w:r>
      <w:r w:rsidRPr="00654774">
        <w:t xml:space="preserve">, </w:t>
      </w:r>
      <w:r>
        <w:t>we have clearly shown that</w:t>
      </w:r>
      <w:r w:rsidR="00EE3032">
        <w:t xml:space="preserve"> water availability</w:t>
      </w:r>
      <w:r>
        <w:t xml:space="preserve"> </w:t>
      </w:r>
      <w:r w:rsidR="00582A25">
        <w:t xml:space="preserve">strongly </w:t>
      </w:r>
      <w:r>
        <w:t>determined</w:t>
      </w:r>
      <w:r w:rsidR="00582A25">
        <w:t xml:space="preserve"> the efficacy of fertilization on wood biomass production</w:t>
      </w:r>
      <w:r w:rsidR="00EE3032">
        <w:t xml:space="preserve"> </w:t>
      </w:r>
      <w:r w:rsidR="00582A25">
        <w:t xml:space="preserve">through </w:t>
      </w:r>
      <w:r w:rsidR="00EE3032">
        <w:t>increased aboveground C partitioning at the expense of reduction of belowground</w:t>
      </w:r>
      <w:r w:rsidR="00582A25">
        <w:t xml:space="preserve"> wit</w:t>
      </w:r>
      <w:r w:rsidR="00EE3032">
        <w:t>h no</w:t>
      </w:r>
      <w:r w:rsidR="00582A25">
        <w:t xml:space="preserve"> chang</w:t>
      </w:r>
      <w:r w:rsidR="00EE3032">
        <w:t>e in</w:t>
      </w:r>
      <w:r w:rsidR="00582A25">
        <w:t xml:space="preserve"> total net primary production (Lim et al. 2015). The study has been extended until now, </w:t>
      </w:r>
      <w:r w:rsidR="008D05B9">
        <w:t>during</w:t>
      </w:r>
      <w:r w:rsidR="00582A25">
        <w:t xml:space="preserve"> which the stand experienced</w:t>
      </w:r>
      <w:r w:rsidR="00AC1E9D">
        <w:t xml:space="preserve"> a larger variation of water availability including a</w:t>
      </w:r>
      <w:r w:rsidR="00582A25">
        <w:t xml:space="preserve"> severe drought in 2018. </w:t>
      </w:r>
      <w:r w:rsidR="00AC1E9D">
        <w:t xml:space="preserve">Taking this </w:t>
      </w:r>
      <w:r w:rsidR="008D05B9">
        <w:t xml:space="preserve">opportunity, </w:t>
      </w:r>
    </w:p>
    <w:p w14:paraId="468DA1DA" w14:textId="77777777" w:rsidR="00AC1E9D" w:rsidRDefault="00AC1E9D"/>
    <w:p w14:paraId="4286F84B" w14:textId="207BE05F" w:rsidR="00DD368C" w:rsidRPr="00AC1E9D" w:rsidRDefault="00240BFC">
      <w:r>
        <w:t>Here</w:t>
      </w:r>
      <w:r w:rsidR="00582A25">
        <w:t xml:space="preserve"> we </w:t>
      </w:r>
      <w:r>
        <w:t xml:space="preserve">are </w:t>
      </w:r>
      <w:r w:rsidR="00582A25">
        <w:t>revisit</w:t>
      </w:r>
      <w:r>
        <w:t>ing</w:t>
      </w:r>
      <w:r w:rsidR="00582A25">
        <w:t xml:space="preserve"> this stand with data complimented with</w:t>
      </w:r>
      <w:r w:rsidR="00DD368C">
        <w:t xml:space="preserve"> gross primary production from the eddy covariance technique, sap-flux modeling, and process based modeling, and net primary production from</w:t>
      </w:r>
      <w:r w:rsidR="00582A25">
        <w:t xml:space="preserve"> additional destructive </w:t>
      </w:r>
      <w:r w:rsidR="00DD368C">
        <w:t xml:space="preserve">biomass samplings. The advances of this re-visited study is </w:t>
      </w:r>
    </w:p>
    <w:p w14:paraId="4EF035C1" w14:textId="77777777" w:rsidR="00DD368C" w:rsidRDefault="00DD368C"/>
    <w:p w14:paraId="7ED8DC12" w14:textId="77777777" w:rsidR="001725D5" w:rsidRPr="00133249" w:rsidRDefault="001725D5" w:rsidP="001725D5">
      <w:pPr>
        <w:jc w:val="both"/>
        <w:rPr>
          <w:i/>
        </w:rPr>
      </w:pPr>
      <w:r>
        <w:rPr>
          <w:i/>
        </w:rPr>
        <w:t>Experimental design</w:t>
      </w:r>
    </w:p>
    <w:p w14:paraId="607F8A36" w14:textId="79ABA7B1" w:rsidR="001725D5" w:rsidRDefault="001725D5" w:rsidP="001725D5">
      <w:r>
        <w:t xml:space="preserve">This site was originally </w:t>
      </w:r>
      <w:r w:rsidRPr="00086EAD">
        <w:t>subject to the footprints of eddy-covariance flux towers under a reference treatment (no N addition) and two rates of N application (2 and 8.8 g N m</w:t>
      </w:r>
      <w:r w:rsidRPr="00086EAD">
        <w:rPr>
          <w:vertAlign w:val="superscript"/>
        </w:rPr>
        <w:t>-2</w:t>
      </w:r>
      <w:r w:rsidRPr="00086EAD">
        <w:t xml:space="preserve"> y</w:t>
      </w:r>
      <w:r w:rsidRPr="00086EAD">
        <w:rPr>
          <w:vertAlign w:val="superscript"/>
        </w:rPr>
        <w:t>-1</w:t>
      </w:r>
      <w:r w:rsidRPr="00086EAD">
        <w:t>), mimicking N deposition and fertilization</w:t>
      </w:r>
      <w:r>
        <w:t>. The N deposition treatment was ceased since 2013 due to a bridge construction along the stand, thereafter</w:t>
      </w:r>
      <w:r w:rsidR="00D721E0">
        <w:t xml:space="preserve"> having</w:t>
      </w:r>
      <w:r>
        <w:t xml:space="preserve"> focus</w:t>
      </w:r>
      <w:r w:rsidR="00D721E0">
        <w:t>ed</w:t>
      </w:r>
      <w:r>
        <w:t xml:space="preserve"> on reference and N fertilization.</w:t>
      </w:r>
      <w:r w:rsidRPr="00086EAD">
        <w:t xml:space="preserve"> The area where the towers were located was uniform, and treatment plots were pseudo-replicated (1000 m</w:t>
      </w:r>
      <w:r w:rsidRPr="00086EAD">
        <w:rPr>
          <w:vertAlign w:val="superscript"/>
        </w:rPr>
        <w:t>2</w:t>
      </w:r>
      <w:r w:rsidRPr="00086EAD">
        <w:t>, n = 3) due to the difficulty in establishing replicates for eddy-covariance flux measurements. Hence, relative stand density from the size-density baseline</w:t>
      </w:r>
      <w:r>
        <w:t xml:space="preserve"> was used</w:t>
      </w:r>
      <w:r w:rsidRPr="00086EAD">
        <w:t xml:space="preserve"> as a covariate and</w:t>
      </w:r>
      <w:r>
        <w:t xml:space="preserve"> </w:t>
      </w:r>
      <w:r w:rsidRPr="00086EAD">
        <w:t xml:space="preserve">an initial condition among the </w:t>
      </w:r>
      <w:r>
        <w:t>two</w:t>
      </w:r>
      <w:r w:rsidRPr="00086EAD">
        <w:t xml:space="preserve"> stands was examined, in order to facilitate evaluations of the intended spatial and temporal variations.</w:t>
      </w:r>
    </w:p>
    <w:p w14:paraId="010D393F" w14:textId="45769374" w:rsidR="00A361B9" w:rsidRDefault="00A361B9">
      <w:r>
        <w:br w:type="page"/>
      </w:r>
    </w:p>
    <w:p w14:paraId="24CC5CF6" w14:textId="2B96E091" w:rsidR="00A361B9" w:rsidRDefault="00A361B9" w:rsidP="00A361B9">
      <w:r>
        <w:lastRenderedPageBreak/>
        <w:t>Materials and methods</w:t>
      </w:r>
    </w:p>
    <w:p w14:paraId="08B57DF0" w14:textId="77777777" w:rsidR="009264BA" w:rsidRDefault="009264BA" w:rsidP="00A361B9"/>
    <w:p w14:paraId="171B22F2" w14:textId="451063A1" w:rsidR="0039643A" w:rsidRDefault="0039643A" w:rsidP="0039643A">
      <w:r w:rsidRPr="0088446E">
        <w:t xml:space="preserve">The study was conducted in a </w:t>
      </w:r>
      <w:r>
        <w:t>~90</w:t>
      </w:r>
      <w:r w:rsidRPr="0088446E">
        <w:t>-year-old</w:t>
      </w:r>
      <w:r w:rsidR="009264BA">
        <w:t>,</w:t>
      </w:r>
      <w:r w:rsidRPr="0088446E">
        <w:t xml:space="preserve"> </w:t>
      </w:r>
      <w:r>
        <w:t xml:space="preserve">naturally regenerated </w:t>
      </w:r>
      <w:r w:rsidRPr="0088446E">
        <w:rPr>
          <w:i/>
        </w:rPr>
        <w:t xml:space="preserve">P. </w:t>
      </w:r>
      <w:proofErr w:type="spellStart"/>
      <w:r w:rsidRPr="0088446E">
        <w:rPr>
          <w:i/>
        </w:rPr>
        <w:t>sylvestris</w:t>
      </w:r>
      <w:proofErr w:type="spellEnd"/>
      <w:r w:rsidRPr="0088446E">
        <w:t xml:space="preserve"> forest in </w:t>
      </w:r>
      <w:proofErr w:type="spellStart"/>
      <w:r>
        <w:t>Rosinedalshden</w:t>
      </w:r>
      <w:proofErr w:type="spellEnd"/>
      <w:r w:rsidRPr="0088446E">
        <w:t xml:space="preserve"> (</w:t>
      </w:r>
      <w:r>
        <w:t>64.17</w:t>
      </w:r>
      <w:r w:rsidRPr="0088446E">
        <w:t xml:space="preserve">° </w:t>
      </w:r>
      <w:r w:rsidRPr="002D20C5">
        <w:t>N, 19</w:t>
      </w:r>
      <w:r>
        <w:t>.75</w:t>
      </w:r>
      <w:r w:rsidRPr="002D20C5">
        <w:t xml:space="preserve">° E, </w:t>
      </w:r>
      <w:r>
        <w:t>145</w:t>
      </w:r>
      <w:r w:rsidRPr="002D20C5">
        <w:t xml:space="preserve"> m </w:t>
      </w:r>
      <w:proofErr w:type="spellStart"/>
      <w:r w:rsidRPr="002D20C5">
        <w:t>a</w:t>
      </w:r>
      <w:r w:rsidRPr="005F024E">
        <w:t>.s.l</w:t>
      </w:r>
      <w:proofErr w:type="spellEnd"/>
      <w:r w:rsidRPr="005F024E">
        <w:t xml:space="preserve">.), near </w:t>
      </w:r>
      <w:proofErr w:type="spellStart"/>
      <w:r w:rsidRPr="005F024E">
        <w:t>Vindeln</w:t>
      </w:r>
      <w:proofErr w:type="spellEnd"/>
      <w:r w:rsidRPr="005F024E">
        <w:t xml:space="preserve">, </w:t>
      </w:r>
      <w:proofErr w:type="spellStart"/>
      <w:r w:rsidRPr="005805BC">
        <w:t>Västerbotten</w:t>
      </w:r>
      <w:proofErr w:type="spellEnd"/>
      <w:r w:rsidRPr="005805BC">
        <w:t>, Sweden</w:t>
      </w:r>
      <w:r>
        <w:t xml:space="preserve">. </w:t>
      </w:r>
      <w:r w:rsidRPr="005805BC">
        <w:t>The forest is located along the</w:t>
      </w:r>
      <w:r>
        <w:t xml:space="preserve"> e</w:t>
      </w:r>
      <w:r w:rsidR="009264BA">
        <w:t>m</w:t>
      </w:r>
      <w:r>
        <w:t>barkment of the</w:t>
      </w:r>
      <w:r w:rsidRPr="005805BC">
        <w:t xml:space="preserve"> </w:t>
      </w:r>
      <w:proofErr w:type="spellStart"/>
      <w:r w:rsidRPr="005805BC">
        <w:t>Vindeln</w:t>
      </w:r>
      <w:proofErr w:type="spellEnd"/>
      <w:r w:rsidRPr="005805BC">
        <w:t xml:space="preserve"> River, on a generally flat topography. The soil is fine</w:t>
      </w:r>
      <w:r w:rsidR="001725D5">
        <w:t xml:space="preserve"> sand, representing a low water holding capacity (%)</w:t>
      </w:r>
      <w:r w:rsidRPr="005805BC">
        <w:t xml:space="preserve"> </w:t>
      </w:r>
      <w:r w:rsidR="001725D5">
        <w:t xml:space="preserve">and </w:t>
      </w:r>
      <w:r w:rsidRPr="005805BC">
        <w:t xml:space="preserve">an organic layer </w:t>
      </w:r>
      <w:r w:rsidR="001725D5">
        <w:t xml:space="preserve">topped </w:t>
      </w:r>
      <w:r w:rsidRPr="005805BC">
        <w:t xml:space="preserve">ranging in thickness 2 </w:t>
      </w:r>
      <w:r>
        <w:t>–</w:t>
      </w:r>
      <w:r w:rsidRPr="005805BC">
        <w:t xml:space="preserve"> 5 cm. </w:t>
      </w:r>
      <w:r>
        <w:t>T</w:t>
      </w:r>
      <w:r w:rsidRPr="00184CAE">
        <w:t>he area is</w:t>
      </w:r>
      <w:r>
        <w:t xml:space="preserve"> generally</w:t>
      </w:r>
      <w:r w:rsidRPr="00184CAE">
        <w:t xml:space="preserve"> covered by snow</w:t>
      </w:r>
      <w:r w:rsidRPr="005F024E">
        <w:t xml:space="preserve"> from late October to early May. The understory is covered by vegetation characterized by the dwarf shrubs, </w:t>
      </w:r>
      <w:r w:rsidRPr="005F024E">
        <w:rPr>
          <w:i/>
        </w:rPr>
        <w:t xml:space="preserve">Vaccinium </w:t>
      </w:r>
      <w:proofErr w:type="spellStart"/>
      <w:r w:rsidRPr="005F024E">
        <w:rPr>
          <w:i/>
        </w:rPr>
        <w:t>myrtillus</w:t>
      </w:r>
      <w:proofErr w:type="spellEnd"/>
      <w:r w:rsidRPr="005F024E">
        <w:t xml:space="preserve"> (bilberry) and </w:t>
      </w:r>
      <w:r w:rsidRPr="005F024E">
        <w:rPr>
          <w:i/>
        </w:rPr>
        <w:t xml:space="preserve">Vaccinium </w:t>
      </w:r>
      <w:proofErr w:type="spellStart"/>
      <w:r w:rsidRPr="005F024E">
        <w:rPr>
          <w:i/>
        </w:rPr>
        <w:t>vitis-idaea</w:t>
      </w:r>
      <w:proofErr w:type="spellEnd"/>
      <w:r w:rsidRPr="005F024E">
        <w:t xml:space="preserve"> (lingonberry), a ground layer of mosses, </w:t>
      </w:r>
      <w:proofErr w:type="spellStart"/>
      <w:r w:rsidRPr="005F024E">
        <w:rPr>
          <w:i/>
        </w:rPr>
        <w:t>Pleurozium</w:t>
      </w:r>
      <w:proofErr w:type="spellEnd"/>
      <w:r w:rsidRPr="005F024E">
        <w:rPr>
          <w:i/>
        </w:rPr>
        <w:t xml:space="preserve"> </w:t>
      </w:r>
      <w:proofErr w:type="spellStart"/>
      <w:r w:rsidRPr="005F024E">
        <w:rPr>
          <w:i/>
        </w:rPr>
        <w:t>schreberi</w:t>
      </w:r>
      <w:proofErr w:type="spellEnd"/>
      <w:r w:rsidRPr="005F024E">
        <w:rPr>
          <w:i/>
        </w:rPr>
        <w:t xml:space="preserve"> </w:t>
      </w:r>
      <w:r w:rsidRPr="005F024E">
        <w:t xml:space="preserve">and </w:t>
      </w:r>
      <w:proofErr w:type="spellStart"/>
      <w:r w:rsidRPr="005F024E">
        <w:rPr>
          <w:i/>
        </w:rPr>
        <w:t>Hylocomium</w:t>
      </w:r>
      <w:proofErr w:type="spellEnd"/>
      <w:r w:rsidRPr="005F024E">
        <w:rPr>
          <w:i/>
        </w:rPr>
        <w:t xml:space="preserve"> </w:t>
      </w:r>
      <w:proofErr w:type="spellStart"/>
      <w:r w:rsidRPr="005F024E">
        <w:rPr>
          <w:i/>
        </w:rPr>
        <w:t>splendens</w:t>
      </w:r>
      <w:proofErr w:type="spellEnd"/>
      <w:r w:rsidRPr="005F024E">
        <w:t>, and lichens</w:t>
      </w:r>
      <w:r w:rsidRPr="005F024E">
        <w:rPr>
          <w:i/>
        </w:rPr>
        <w:t xml:space="preserve">, </w:t>
      </w:r>
      <w:proofErr w:type="spellStart"/>
      <w:r w:rsidRPr="005F024E">
        <w:rPr>
          <w:i/>
        </w:rPr>
        <w:t>Cladonia</w:t>
      </w:r>
      <w:proofErr w:type="spellEnd"/>
      <w:r w:rsidRPr="005F024E">
        <w:rPr>
          <w:i/>
        </w:rPr>
        <w:t xml:space="preserve"> spp</w:t>
      </w:r>
      <w:r w:rsidRPr="005F024E">
        <w:t>. The 3</w:t>
      </w:r>
      <w:r>
        <w:t>8</w:t>
      </w:r>
      <w:r w:rsidRPr="005F024E">
        <w:t>-year mean annual temperature and precipitation (198</w:t>
      </w:r>
      <w:r>
        <w:t>1</w:t>
      </w:r>
      <w:r w:rsidRPr="005F024E">
        <w:t>–201</w:t>
      </w:r>
      <w:r>
        <w:t>8</w:t>
      </w:r>
      <w:r w:rsidRPr="005F024E">
        <w:t xml:space="preserve">), measured at the </w:t>
      </w:r>
      <w:proofErr w:type="spellStart"/>
      <w:r w:rsidRPr="005F024E">
        <w:t>Svartberget</w:t>
      </w:r>
      <w:proofErr w:type="spellEnd"/>
      <w:r w:rsidRPr="005F024E">
        <w:t xml:space="preserve"> field station ~10 km from the study site, were 1.8 °C and 614 mm, respectively (Laudon et al. 2013).</w:t>
      </w:r>
    </w:p>
    <w:p w14:paraId="07184EFF" w14:textId="77777777" w:rsidR="0039643A" w:rsidRPr="005F024E" w:rsidRDefault="0039643A" w:rsidP="0039643A"/>
    <w:p w14:paraId="2D2E5237" w14:textId="77777777" w:rsidR="0055589B" w:rsidRPr="0046112B" w:rsidRDefault="0055589B" w:rsidP="00086EAD"/>
    <w:p w14:paraId="4D8D6D85" w14:textId="7DCA1C72" w:rsidR="0046112B" w:rsidRPr="0046112B" w:rsidRDefault="0046112B" w:rsidP="00086EAD">
      <w:pPr>
        <w:rPr>
          <w:i/>
        </w:rPr>
      </w:pPr>
      <w:r w:rsidRPr="0046112B">
        <w:rPr>
          <w:i/>
        </w:rPr>
        <w:t>Tree and stand measurements</w:t>
      </w:r>
    </w:p>
    <w:p w14:paraId="0EBD32A6" w14:textId="2C6E1A0F" w:rsidR="00D721E0" w:rsidRDefault="00D721E0" w:rsidP="009264BA">
      <w:r>
        <w:t>Estimation of standing biomass</w:t>
      </w:r>
    </w:p>
    <w:p w14:paraId="16EA74AA" w14:textId="3DF07D3C" w:rsidR="00D721E0" w:rsidRDefault="00D721E0" w:rsidP="009264BA">
      <w:r>
        <w:t xml:space="preserve">Annual standing tree biomass was estimated based on a combination of local allometric equations and consecutive </w:t>
      </w:r>
      <w:r w:rsidR="00153BE2">
        <w:t>tree dimension surveys. Allometric equations for each biomass compartment were derived from three destructive tree harvests, June 2006, October 2011, and September 2018. First harvesting was for capturing initial tree size-</w:t>
      </w:r>
      <w:proofErr w:type="spellStart"/>
      <w:r w:rsidR="00153BE2">
        <w:t>allometrics</w:t>
      </w:r>
      <w:proofErr w:type="spellEnd"/>
      <w:r w:rsidR="00153BE2">
        <w:t xml:space="preserve">, and second one was to capture a likelihood stable response to the fertilization within five years as branches hold foliage until 4 years in this stand. The last harvest was to capture a long-term response of allometric equations to the treatment (13 years). Using each harvesting campaign as a covariate, allometric equations were compared between treatments and harvesting </w:t>
      </w:r>
      <w:r w:rsidR="00153BE2">
        <w:lastRenderedPageBreak/>
        <w:t xml:space="preserve">timings, and in case no difference in the coefficients were detected, then data was pooled across the treatment and/or timings. </w:t>
      </w:r>
      <w:r w:rsidR="00E80C3C">
        <w:t xml:space="preserve">Details of measurements on </w:t>
      </w:r>
      <w:proofErr w:type="spellStart"/>
      <w:r w:rsidR="00E80C3C">
        <w:t>tree</w:t>
      </w:r>
      <w:proofErr w:type="spellEnd"/>
      <w:r w:rsidR="00E80C3C">
        <w:t xml:space="preserve"> dimensions (diameter at 1.3 m, height, and length of live crown) and destructive tree harvests were described in Lim et al. 2015.</w:t>
      </w:r>
    </w:p>
    <w:p w14:paraId="4E0143C9" w14:textId="7D810F0E" w:rsidR="00E80C3C" w:rsidRDefault="00E80C3C" w:rsidP="009264BA"/>
    <w:p w14:paraId="5B2B974D" w14:textId="54BEB2EA" w:rsidR="00E80C3C" w:rsidRDefault="00951230" w:rsidP="009264BA">
      <w:r>
        <w:t>Litter collection and e</w:t>
      </w:r>
      <w:r w:rsidR="00E80C3C">
        <w:t>stimation of leaf area index</w:t>
      </w:r>
    </w:p>
    <w:p w14:paraId="32E2A34F" w14:textId="1E6F15CD" w:rsidR="00951230" w:rsidRDefault="00951230" w:rsidP="009264BA">
      <w:r>
        <w:t xml:space="preserve">Eleven litter traps (0.5 x 0.5 m2) were installed in each stand in June 2006. Litterfall was collected twice a year, before and after the period of intense needle shedding in autumn. Collected litterfall was oven dried at 65°C until constant weight, and sorted into foliage, cones, bark, dead branches, and miscellaneous. The separation was not performed since 2016 collections, thus we employed fraction of each component to total weight to estimate each component litterfall. The carbon content of litterfall was assumed to be 50% of the </w:t>
      </w:r>
      <w:proofErr w:type="spellStart"/>
      <w:r>
        <w:t>drymass</w:t>
      </w:r>
      <w:proofErr w:type="spellEnd"/>
      <w:r>
        <w:t>.</w:t>
      </w:r>
    </w:p>
    <w:p w14:paraId="6CB32B60" w14:textId="12890203" w:rsidR="00D450B3" w:rsidRDefault="007168F3" w:rsidP="009264BA">
      <w:r>
        <w:t xml:space="preserve">Leaf area index (LAI) were estimated based on a combination of </w:t>
      </w:r>
      <w:r w:rsidR="00951230">
        <w:t>canopy gap fraction using hemispherical photographs</w:t>
      </w:r>
      <w:r w:rsidR="00D450B3">
        <w:t>, placed by the litter traps. After obtained LAI from images analysis, the values were corrected by absolute LAI obtained from the three destructive harvests. Thus, hemispherical photographs were representative to annual and seasonal patterns and harvests</w:t>
      </w:r>
    </w:p>
    <w:p w14:paraId="563A01F7" w14:textId="5C2759F6" w:rsidR="00E80C3C" w:rsidRDefault="00951230" w:rsidP="009264BA">
      <w:r>
        <w:t xml:space="preserve"> and allometric estimations using total leaf mass and projected specific foliage area. We used </w:t>
      </w:r>
      <w:r w:rsidR="00A571F3">
        <w:t xml:space="preserve">seasonal patterns of LAI from values from hemispherical photographs and corrected them by </w:t>
      </w:r>
      <w:r w:rsidR="00E412CD">
        <w:t xml:space="preserve">allometric estimations. </w:t>
      </w:r>
      <w:r w:rsidR="00BC6ED1">
        <w:t xml:space="preserve">Allometric estimates were from each harvesting time. </w:t>
      </w:r>
    </w:p>
    <w:p w14:paraId="73D7CA93" w14:textId="72B6A625" w:rsidR="00951230" w:rsidRDefault="00951230" w:rsidP="009264BA"/>
    <w:p w14:paraId="6410BE5E" w14:textId="77777777" w:rsidR="00951230" w:rsidRDefault="00951230" w:rsidP="009264BA"/>
    <w:p w14:paraId="3778ED36" w14:textId="13145994" w:rsidR="00D721E0" w:rsidRDefault="00D721E0" w:rsidP="009264BA">
      <w:r>
        <w:t xml:space="preserve">Consecutive tree dimensions (stem diameter at 1.3 m, height, and length of live crown) were surveyed since August 2005 at the end of the vegetation growing season, thus representing initial tree size before treatment initiated. </w:t>
      </w:r>
    </w:p>
    <w:p w14:paraId="04E88E27" w14:textId="77777777" w:rsidR="00D721E0" w:rsidRDefault="00D721E0" w:rsidP="009264BA"/>
    <w:p w14:paraId="7D1ED59C" w14:textId="4B985819" w:rsidR="009264BA" w:rsidRDefault="00D721E0" w:rsidP="009264BA">
      <w:r>
        <w:t>In order to estimate annual dynamics of leaf area index (</w:t>
      </w:r>
      <w:r w:rsidRPr="00D721E0">
        <w:rPr>
          <w:i/>
        </w:rPr>
        <w:t>L</w:t>
      </w:r>
      <w:r>
        <w:t>), optical gap</w:t>
      </w:r>
    </w:p>
    <w:p w14:paraId="244538D0" w14:textId="77777777" w:rsidR="00D721E0" w:rsidRDefault="00D721E0" w:rsidP="009264BA"/>
    <w:p w14:paraId="520D5B6F" w14:textId="77777777" w:rsidR="009264BA" w:rsidRDefault="009264BA" w:rsidP="009264BA"/>
    <w:p w14:paraId="4136A022" w14:textId="351DC4A2" w:rsidR="0046112B" w:rsidRDefault="0055589B" w:rsidP="009264BA">
      <w:r>
        <w:t>Destructive harvests</w:t>
      </w:r>
    </w:p>
    <w:p w14:paraId="6D59341A" w14:textId="7EF6F92B" w:rsidR="0055589B" w:rsidRDefault="0055589B" w:rsidP="0055589B">
      <w:r>
        <w:t xml:space="preserve">During 13 years of treatment administration, we performed destructive tree sampling three times, to capture the pre-treatment period, the time likely corresponding with stable treatment response, and </w:t>
      </w:r>
      <w:r w:rsidR="00056964">
        <w:t>the</w:t>
      </w:r>
      <w:r w:rsidR="009264BA">
        <w:t xml:space="preserve"> time for</w:t>
      </w:r>
      <w:r>
        <w:t xml:space="preserve"> </w:t>
      </w:r>
      <w:r w:rsidR="009264BA">
        <w:t xml:space="preserve">a </w:t>
      </w:r>
      <w:r>
        <w:t xml:space="preserve">long-term response. </w:t>
      </w:r>
      <w:r w:rsidR="00056964">
        <w:t>The first sampling was in early June 2006, thus representing</w:t>
      </w:r>
      <w:r>
        <w:t xml:space="preserve"> size dependent biomass allocations </w:t>
      </w:r>
      <w:r w:rsidR="00056964">
        <w:t>before treatment initiated, and the second sampling was in Oct</w:t>
      </w:r>
      <w:r w:rsidR="009264BA">
        <w:t>ober</w:t>
      </w:r>
      <w:r w:rsidR="00056964">
        <w:t xml:space="preserve"> 2011, following six years of fertilization, and in Sep. 2018, 13 years of fertilization treatment. Briefly, five trees in each treatment stand were sampled in the first sampling, and six trees in each treatment stand were harvested in the second and third sampling campaigns.</w:t>
      </w:r>
      <w:r>
        <w:t xml:space="preserve"> </w:t>
      </w:r>
    </w:p>
    <w:p w14:paraId="5F80A1C1" w14:textId="77777777" w:rsidR="0046112B" w:rsidRDefault="0046112B" w:rsidP="00086EAD"/>
    <w:p w14:paraId="75611CF3" w14:textId="074BE59C" w:rsidR="0046112B" w:rsidRPr="0046112B" w:rsidRDefault="0046112B" w:rsidP="00086EAD">
      <w:pPr>
        <w:rPr>
          <w:i/>
        </w:rPr>
      </w:pPr>
      <w:r w:rsidRPr="0046112B">
        <w:rPr>
          <w:i/>
        </w:rPr>
        <w:t>Estimating standing biomass, leaf area index, and net primary production</w:t>
      </w:r>
    </w:p>
    <w:p w14:paraId="11833534" w14:textId="69405B32" w:rsidR="0046112B" w:rsidRDefault="0046112B" w:rsidP="00086EAD"/>
    <w:p w14:paraId="64F77935" w14:textId="5B780F34" w:rsidR="0046112B" w:rsidRDefault="0046112B" w:rsidP="00086EAD"/>
    <w:p w14:paraId="0C8A1BD7" w14:textId="335B906C" w:rsidR="0046112B" w:rsidRPr="0046112B" w:rsidRDefault="0046112B" w:rsidP="00086EAD">
      <w:pPr>
        <w:rPr>
          <w:i/>
        </w:rPr>
      </w:pPr>
      <w:r>
        <w:rPr>
          <w:i/>
        </w:rPr>
        <w:t>Data analyses</w:t>
      </w:r>
    </w:p>
    <w:p w14:paraId="246B1CA6" w14:textId="5522A61A" w:rsidR="00086EAD" w:rsidRDefault="00086EAD" w:rsidP="00086EAD"/>
    <w:p w14:paraId="2D4B27CF" w14:textId="77777777" w:rsidR="0046112B" w:rsidRPr="00086EAD" w:rsidRDefault="0046112B" w:rsidP="00086EAD"/>
    <w:p w14:paraId="7359CAD3" w14:textId="0A493643" w:rsidR="0044551E" w:rsidRPr="00654774" w:rsidRDefault="00654774" w:rsidP="0039643A">
      <w:r>
        <w:t xml:space="preserve"> </w:t>
      </w:r>
    </w:p>
    <w:sectPr w:rsidR="0044551E" w:rsidRPr="00654774" w:rsidSect="00582A25">
      <w:pgSz w:w="11900" w:h="16840"/>
      <w:pgMar w:top="1417" w:right="1417" w:bottom="1417" w:left="1417"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ED3435"/>
    <w:multiLevelType w:val="hybridMultilevel"/>
    <w:tmpl w:val="19FC53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CD1516"/>
    <w:multiLevelType w:val="hybridMultilevel"/>
    <w:tmpl w:val="14A2CC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057248"/>
    <w:multiLevelType w:val="hybridMultilevel"/>
    <w:tmpl w:val="E3CCC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FCA446F"/>
    <w:multiLevelType w:val="hybridMultilevel"/>
    <w:tmpl w:val="BEEAB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E9B"/>
    <w:rsid w:val="00037D19"/>
    <w:rsid w:val="00056964"/>
    <w:rsid w:val="00056E9B"/>
    <w:rsid w:val="00086EAD"/>
    <w:rsid w:val="00095318"/>
    <w:rsid w:val="000F39F9"/>
    <w:rsid w:val="001422A6"/>
    <w:rsid w:val="00153BE2"/>
    <w:rsid w:val="001725D5"/>
    <w:rsid w:val="001A17EB"/>
    <w:rsid w:val="00240BFC"/>
    <w:rsid w:val="0025261B"/>
    <w:rsid w:val="0039643A"/>
    <w:rsid w:val="003C387B"/>
    <w:rsid w:val="0044551E"/>
    <w:rsid w:val="0046112B"/>
    <w:rsid w:val="004B5C80"/>
    <w:rsid w:val="004F0A1C"/>
    <w:rsid w:val="0055589B"/>
    <w:rsid w:val="00582A25"/>
    <w:rsid w:val="005946DB"/>
    <w:rsid w:val="005B6595"/>
    <w:rsid w:val="00654774"/>
    <w:rsid w:val="006B7F1A"/>
    <w:rsid w:val="007168F3"/>
    <w:rsid w:val="00774682"/>
    <w:rsid w:val="007A6496"/>
    <w:rsid w:val="0089276E"/>
    <w:rsid w:val="00894131"/>
    <w:rsid w:val="008D05B9"/>
    <w:rsid w:val="009264BA"/>
    <w:rsid w:val="00951230"/>
    <w:rsid w:val="00981F0B"/>
    <w:rsid w:val="009F7613"/>
    <w:rsid w:val="00A34CC1"/>
    <w:rsid w:val="00A361B9"/>
    <w:rsid w:val="00A571F3"/>
    <w:rsid w:val="00AA434D"/>
    <w:rsid w:val="00AC1E9D"/>
    <w:rsid w:val="00B10656"/>
    <w:rsid w:val="00B44EE8"/>
    <w:rsid w:val="00BC6ED1"/>
    <w:rsid w:val="00D450B3"/>
    <w:rsid w:val="00D71B0F"/>
    <w:rsid w:val="00D721E0"/>
    <w:rsid w:val="00DD368C"/>
    <w:rsid w:val="00E412CD"/>
    <w:rsid w:val="00E80C3C"/>
    <w:rsid w:val="00EE3032"/>
    <w:rsid w:val="00F46C27"/>
  </w:rsids>
  <m:mathPr>
    <m:mathFont m:val="Cambria Math"/>
    <m:brkBin m:val="before"/>
    <m:brkBinSub m:val="--"/>
    <m:smallFrac m:val="0"/>
    <m:dispDef/>
    <m:lMargin m:val="0"/>
    <m:rMargin m:val="0"/>
    <m:defJc m:val="centerGroup"/>
    <m:wrapIndent m:val="1440"/>
    <m:intLim m:val="subSup"/>
    <m:naryLim m:val="undOvr"/>
  </m:mathPr>
  <w:themeFontLang w:val="sv-SE"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59AB6"/>
  <w15:chartTrackingRefBased/>
  <w15:docId w15:val="{164B2BED-F96B-924B-8E76-9A846F6C1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sv-SE" w:eastAsia="ko-KR" w:bidi="ar-SA"/>
      </w:rPr>
    </w:rPrDefault>
    <w:pPrDefault>
      <w:pPr>
        <w:spacing w:line="48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582A25"/>
  </w:style>
  <w:style w:type="paragraph" w:styleId="ListParagraph">
    <w:name w:val="List Paragraph"/>
    <w:basedOn w:val="Normal"/>
    <w:uiPriority w:val="34"/>
    <w:qFormat/>
    <w:rsid w:val="00AA434D"/>
    <w:pPr>
      <w:ind w:left="720"/>
      <w:contextualSpacing/>
    </w:pPr>
  </w:style>
  <w:style w:type="paragraph" w:styleId="NormalWeb">
    <w:name w:val="Normal (Web)"/>
    <w:basedOn w:val="Normal"/>
    <w:uiPriority w:val="99"/>
    <w:semiHidden/>
    <w:unhideWhenUsed/>
    <w:rsid w:val="00951230"/>
    <w:pPr>
      <w:spacing w:before="100" w:beforeAutospacing="1" w:after="100" w:afterAutospacing="1" w:line="240" w:lineRule="auto"/>
    </w:pPr>
    <w:rPr>
      <w:rFonts w:eastAsia="Times New Roman"/>
      <w:lang w:val="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7476580">
      <w:bodyDiv w:val="1"/>
      <w:marLeft w:val="0"/>
      <w:marRight w:val="0"/>
      <w:marTop w:val="0"/>
      <w:marBottom w:val="0"/>
      <w:divBdr>
        <w:top w:val="none" w:sz="0" w:space="0" w:color="auto"/>
        <w:left w:val="none" w:sz="0" w:space="0" w:color="auto"/>
        <w:bottom w:val="none" w:sz="0" w:space="0" w:color="auto"/>
        <w:right w:val="none" w:sz="0" w:space="0" w:color="auto"/>
      </w:divBdr>
      <w:divsChild>
        <w:div w:id="124547742">
          <w:marLeft w:val="0"/>
          <w:marRight w:val="0"/>
          <w:marTop w:val="0"/>
          <w:marBottom w:val="0"/>
          <w:divBdr>
            <w:top w:val="none" w:sz="0" w:space="0" w:color="auto"/>
            <w:left w:val="none" w:sz="0" w:space="0" w:color="auto"/>
            <w:bottom w:val="none" w:sz="0" w:space="0" w:color="auto"/>
            <w:right w:val="none" w:sz="0" w:space="0" w:color="auto"/>
          </w:divBdr>
          <w:divsChild>
            <w:div w:id="1255825989">
              <w:marLeft w:val="0"/>
              <w:marRight w:val="0"/>
              <w:marTop w:val="0"/>
              <w:marBottom w:val="0"/>
              <w:divBdr>
                <w:top w:val="none" w:sz="0" w:space="0" w:color="auto"/>
                <w:left w:val="none" w:sz="0" w:space="0" w:color="auto"/>
                <w:bottom w:val="none" w:sz="0" w:space="0" w:color="auto"/>
                <w:right w:val="none" w:sz="0" w:space="0" w:color="auto"/>
              </w:divBdr>
              <w:divsChild>
                <w:div w:id="182080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1315</TotalTime>
  <Pages>9</Pages>
  <Words>1634</Words>
  <Characters>9314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Hyungwoo Lim</dc:creator>
  <cp:keywords/>
  <dc:description/>
  <cp:lastModifiedBy>Hyungwoo Lim</cp:lastModifiedBy>
  <cp:revision>14</cp:revision>
  <dcterms:created xsi:type="dcterms:W3CDTF">2019-07-11T08:01:00Z</dcterms:created>
  <dcterms:modified xsi:type="dcterms:W3CDTF">2019-10-16T14:43:00Z</dcterms:modified>
</cp:coreProperties>
</file>