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2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20"/>
    <w:bookmarkStart w:id="24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21" w:name="flujos-críticos-de-trabajo"/>
    <w:p>
      <w:pPr>
        <w:pStyle w:val="Ttulo3"/>
      </w:pPr>
      <w:r>
        <w:t xml:space="preserve">Flujos Críticos de Trabajo</w:t>
      </w:r>
    </w:p>
    <w:bookmarkEnd w:id="21"/>
    <w:bookmarkStart w:id="22" w:name="gestión-del-riesgo-técnico"/>
    <w:p>
      <w:pPr>
        <w:pStyle w:val="Ttulo3"/>
      </w:pPr>
      <w:r>
        <w:t xml:space="preserve">Gestión del Riesgo Técnico</w:t>
      </w:r>
    </w:p>
    <w:bookmarkEnd w:id="22"/>
    <w:bookmarkStart w:id="23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23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2023-06-12T14:55:23Z</dcterms:created>
  <dcterms:modified xsi:type="dcterms:W3CDTF">2023-06-12T14:55:23Z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