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20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20"/>
    <w:bookmarkStart w:id="24" w:name="X7f84bb94068da007d469c7240a92a859956f28c"/>
    <w:p>
      <w:pPr>
        <w:pStyle w:val="Ttulo2"/>
      </w:pPr>
      <w:r>
        <w:t xml:space="preserve">Análisis de Impacto en las arquitecturas (AIA) del FNA</w:t>
      </w:r>
    </w:p>
    <w:p>
      <w:pPr>
        <w:pStyle w:val="FirstParagraph"/>
      </w:pPr>
      <w:r>
        <w:t xml:space="preserve">El análisis de impacto en el negocio BIA (Business Impact Analisys) permite la evaluación de cada componente, para determinar cuáles de ellos son críticos para la continuidad del servicio y es la base para la creación del Plan de Continuidad.</w:t>
      </w:r>
    </w:p>
    <w:p>
      <w:pPr>
        <w:pStyle w:val="Textoindependiente"/>
      </w:pPr>
      <w:r>
        <w:t xml:space="preserve">Todas las etapas asociadas a este análisis se han documentado en la Matriz de Análisis BIA. A continuación, los resultados claves para el plan de continuidad del servicio.</w:t>
      </w:r>
    </w:p>
    <w:p>
      <w:pPr>
        <w:pStyle w:val="Textoindependiente"/>
      </w:pPr>
      <w:r>
        <w:t xml:space="preserve">Los pasos para el análisis BIA son:</w:t>
      </w:r>
    </w:p>
    <w:p>
      <w:pPr>
        <w:pStyle w:val="Textoindependiente"/>
      </w:pPr>
      <w:r>
        <w:t xml:space="preserve">Identificación de los componentes (CCF).</w:t>
      </w:r>
      <w:r>
        <w:t xml:space="preserve"> </w:t>
      </w:r>
      <w:r>
        <w:t xml:space="preserve">Identificación del calendario crítico para la operación de cada componente (picos de operación y épocas en las que su funcionamiento es indispensable).</w:t>
      </w:r>
      <w:r>
        <w:t xml:space="preserve"> </w:t>
      </w:r>
      <w:r>
        <w:t xml:space="preserve">Identificación de las dependencias e interacciones críticas para cada componente.</w:t>
      </w:r>
      <w:r>
        <w:t xml:space="preserve"> </w:t>
      </w:r>
      <w:r>
        <w:t xml:space="preserve">Análisis del impacto Financiero, Reputacional, Legal o al Usuario de la ausencia del componente en la línea de tiempo.</w:t>
      </w:r>
      <w:r>
        <w:t xml:space="preserve"> </w:t>
      </w:r>
      <w:r>
        <w:t xml:space="preserve">Tiempo Objetivo de Recuperación (RTO) para cada componente.</w:t>
      </w:r>
      <w:r>
        <w:t xml:space="preserve"> </w:t>
      </w:r>
      <w:r>
        <w:t xml:space="preserve">Identificación de los recursos mínimos para operar en contingencia.</w:t>
      </w:r>
      <w:r>
        <w:t xml:space="preserve"> </w:t>
      </w:r>
      <w:r>
        <w:t xml:space="preserve">Determinación del Punto Objetivo de Recuperación (RPO)</w:t>
      </w:r>
    </w:p>
    <w:bookmarkStart w:id="21" w:name="flujos-críticos-de-trabajo"/>
    <w:p>
      <w:pPr>
        <w:pStyle w:val="Ttulo3"/>
      </w:pPr>
      <w:r>
        <w:t xml:space="preserve">Flujos Críticos de Trabajo</w:t>
      </w:r>
    </w:p>
    <w:bookmarkEnd w:id="21"/>
    <w:bookmarkStart w:id="22" w:name="gestión-del-riesgo-técnico"/>
    <w:p>
      <w:pPr>
        <w:pStyle w:val="Ttulo3"/>
      </w:pPr>
      <w:r>
        <w:t xml:space="preserve">Gestión del Riesgo Técnico</w:t>
      </w:r>
    </w:p>
    <w:bookmarkEnd w:id="22"/>
    <w:bookmarkStart w:id="23" w:name="Xcd77ee836a8c879442fd4c95d02af51daa53318"/>
    <w:p>
      <w:pPr>
        <w:pStyle w:val="Ttulo3"/>
      </w:pPr>
      <w:r>
        <w:t xml:space="preserve">Definición de Estrategias de Contingencia</w:t>
      </w:r>
    </w:p>
    <w:p>
      <w:pPr>
        <w:pStyle w:val="FirstParagraph"/>
      </w:pPr>
      <w:r>
        <w:t xml:space="preserve">Las estrategias de contingencia se establecen para cada riesgo crítico analizado, contemplando para ello las redundancias existentes y los requisitos de seguridad que deben mantenerse en observación durante la materialización del riesgo y la recuperación a la normalidad.</w:t>
      </w:r>
    </w:p>
    <w:bookmarkEnd w:id="23"/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2023-06-10T15:26:15Z</dcterms:created>
  <dcterms:modified xsi:type="dcterms:W3CDTF">2023-06-10T15:26:15Z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