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6.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997"/>
        <w:gridCol w:w="6922"/>
      </w:tblGrid>
      <w:tr>
        <w:trPr>
          <w:tblHeader w:val="true"/>
        </w:trPr>
        <w:tc>
          <w:tcPr/>
          <w:p>
            <w:pPr>
              <w:pStyle w:val="Compact"/>
              <w:jc w:val="left"/>
            </w:pPr>
            <w:r>
              <w:t xml:space="preserve">Tema</w:t>
            </w:r>
          </w:p>
        </w:tc>
        <w:tc>
          <w:tcPr/>
          <w:p>
            <w:pPr>
              <w:pStyle w:val="Compact"/>
              <w:jc w:val="left"/>
            </w:pPr>
            <w:r>
              <w:t xml:space="preserve">Gobierno SOA del FNA:</w:t>
            </w:r>
            <w:r>
              <w:t xml:space="preserve"> </w:t>
            </w:r>
            <w:r>
              <w:rPr>
                <w:bCs/>
                <w:b/>
              </w:rPr>
              <w:t xml:space="preserve">Modelo de Gobierno y CCF</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1.4bc1d63</w:t>
            </w:r>
            <w:r>
              <w:t xml:space="preserve"> </w:t>
            </w:r>
            <w:r>
              <w:t xml:space="preserve">del 24 Jun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3" w:name="antecedentes-del-gobierno-soa-del-fna"/>
    <w:p>
      <w:pPr>
        <w:pStyle w:val="Ttulo1"/>
      </w:pPr>
      <w:r>
        <w:t xml:space="preserve">Antecedentes del Gobierno SOA del FNA</w:t>
      </w:r>
    </w:p>
    <w:p>
      <w:pPr>
        <w:pStyle w:val="FirstParagraph"/>
      </w:pPr>
      <w:r>
        <w:t xml:space="preserve">Los resultados de la consultoría E-Service, Fase I, 2022 señalan la</w:t>
      </w:r>
      <w:r>
        <w:t xml:space="preserve"> </w:t>
      </w:r>
      <w:r>
        <w:rPr>
          <w:iCs/>
          <w:i/>
        </w:rPr>
        <w:t xml:space="preserve">necesidad de manejo de la complejidad creciente en las soluciones del FNA</w:t>
      </w:r>
      <w:r>
        <w:t xml:space="preserve"> </w:t>
      </w:r>
      <w:r>
        <w:t xml:space="preserve">(ver</w:t>
      </w:r>
      <w:r>
        <w:t xml:space="preserve"> </w:t>
      </w:r>
      <w:hyperlink r:id="rId22">
        <w:r>
          <w:rPr>
            <w:rStyle w:val="Hipervnculo"/>
          </w:rPr>
          <w:t xml:space="preserve">Resultados E-Service, Fase I</w:t>
        </w:r>
      </w:hyperlink>
      <w:r>
        <w:t xml:space="preserve">). Sobre esa base, El Fondo Nacional del Ahorro estableció como pilar tecnológico la implementación obligatoria del Gobierno SOA, de forma tal, que preserve la continuidad de servicio y permita identificar y gestionar las amenazas y riesgos que impacten el desarrollo y evolución de las arquitecturas de software del Fondo, tarea base para los planes de alineación y puesta marcha de futuras soluciones y mejoras.</w:t>
      </w:r>
    </w:p>
    <w:bookmarkEnd w:id="23"/>
    <w:bookmarkStart w:id="25" w:name="Xecbfe52023a9c6e45a1a15f2d5bb48958b25eb5"/>
    <w:p>
      <w:pPr>
        <w:pStyle w:val="Ttulo1"/>
      </w:pPr>
      <w:r>
        <w:t xml:space="preserve">Modelo de Gobierno SOA del FNA: Actores, Información y Procedimientos</w:t>
      </w:r>
    </w:p>
    <w:p>
      <w:pPr>
        <w:pStyle w:val="FirstParagraph"/>
      </w:pPr>
      <w:r>
        <w:t xml:space="preserve">El gobierno SOA del FNA, objeto de este proyecto, tiene impacto general en la empresa. Sin embargo, se desarrolla desde un centro condicionado por el alcance de este proyecto. Esta versión del Gobierno SOA del FNA nace en las partes e ítems de la arquitectura de software y de servicios del FNA consignadas en la vista de segmento de la empresa (ver Vista de Contextual, segmento de la empresa,</w:t>
      </w:r>
      <w:r>
        <w:t xml:space="preserve"> </w:t>
      </w:r>
      <w:hyperlink r:id="rId24">
        <w:r>
          <w:rPr>
            <w:rStyle w:val="Hipervnculo"/>
          </w:rPr>
          <w:t xml:space="preserve">PR01. E-Service, Fase II</w:t>
        </w:r>
      </w:hyperlink>
      <w:r>
        <w:t xml:space="preserve">) pero no se agota ahí porque es necesario extenderlo a actores, interesados, usuarios y entidades relacionados con las partes de la arquitectura del FNA contenidas en la vista de segmento.</w:t>
      </w:r>
    </w:p>
    <w:p>
      <w:pPr>
        <w:pStyle w:val="Textoindependiente"/>
      </w:pPr>
      <w:r>
        <w:t xml:space="preserve">A cotinuación presentamos el modelo base de gobierno de arquiteturas SOA para el FNA primera edición, versión 0.1, la manera cómo ha evolucionado en el FNA, y sus elementos de gobierno, los actores, la información que deben generar y las funciones que este postula.</w:t>
      </w:r>
    </w:p>
    <w:bookmarkEnd w:id="25"/>
    <w:bookmarkStart w:id="30" w:name="X37dedd9531ba7707d053a034ec51711cb867837"/>
    <w:p>
      <w:pPr>
        <w:pStyle w:val="Ttulo1"/>
      </w:pPr>
      <w:r>
        <w:t xml:space="preserve">Modelo de Gobierno SOA del FNA. Versión 0.2</w:t>
      </w:r>
    </w:p>
    <w:p>
      <w:pPr>
        <w:pStyle w:val="FirstParagraph"/>
      </w:pPr>
      <w:r>
        <w:t xml:space="preserve">La versión inicial del modelo de Gobierno SOA del FNA, propuesto en la Fase I de E-Service establece apenas las bases de lo que debe ser un marco de trabajo para gobierno SOA del FNA. Esta versión hace foco en un asunto general:</w:t>
      </w:r>
      <w:r>
        <w:t xml:space="preserve"> </w:t>
      </w:r>
      <w:r>
        <w:rPr>
          <w:iCs/>
          <w:i/>
        </w:rPr>
        <w:t xml:space="preserve">responder y gestionar la evolutición de la arquitectura de referencia SOA actual del Fondo Nacional del Ahorro</w:t>
      </w:r>
      <w:r>
        <w:t xml:space="preserve">, y deja para siguientes versiones de este marco de trabajo de gobierno SOA la inclusión de otras problemáticas que demanden mayor gobierno.</w:t>
      </w:r>
    </w:p>
    <w:bookmarkStart w:id="0" w:name="fig:ff738db4-970e-4c59-8b76-f58400ba1ff4"/>
    <w:p>
      <w:pPr>
        <w:pStyle w:val="CaptionedFigure"/>
      </w:pPr>
      <w:bookmarkStart w:id="29" w:name="fig:"/>
      <w:r>
        <w:drawing>
          <wp:inline>
            <wp:extent cx="5600700" cy="4485837"/>
            <wp:effectExtent b="0" l="0" r="0" t="0"/>
            <wp:docPr descr="Imagen 1: Modelo de Gobierno SOA del FNA, emisión inicial, versión 0.2. Gestiona la evolución de las arquitecturas de servicios SOA." title="" id="27" name="Picture"/>
            <a:graphic>
              <a:graphicData uri="http://schemas.openxmlformats.org/drawingml/2006/picture">
                <pic:pic>
                  <pic:nvPicPr>
                    <pic:cNvPr descr="images/modelo-gob.png" id="28" name="Picture"/>
                    <pic:cNvPicPr>
                      <a:picLocks noChangeArrowheads="1" noChangeAspect="1"/>
                    </pic:cNvPicPr>
                  </pic:nvPicPr>
                  <pic:blipFill>
                    <a:blip r:embed="rId26"/>
                    <a:stretch>
                      <a:fillRect/>
                    </a:stretch>
                  </pic:blipFill>
                  <pic:spPr bwMode="auto">
                    <a:xfrm>
                      <a:off x="0" y="0"/>
                      <a:ext cx="5600700" cy="4485837"/>
                    </a:xfrm>
                    <a:prstGeom prst="rect">
                      <a:avLst/>
                    </a:prstGeom>
                    <a:noFill/>
                    <a:ln w="9525">
                      <a:noFill/>
                      <a:headEnd/>
                      <a:tailEnd/>
                    </a:ln>
                  </pic:spPr>
                </pic:pic>
              </a:graphicData>
            </a:graphic>
          </wp:inline>
        </w:drawing>
      </w:r>
      <w:bookmarkEnd w:id="29"/>
    </w:p>
    <w:p>
      <w:pPr>
        <w:pStyle w:val="ImageCaption"/>
      </w:pPr>
      <w:r>
        <w:t xml:space="preserve">Imagen 1: Modelo de Gobierno SOA del FNA, emisión inicial, versión 0.2. Gestiona la evolución de las arquitecturas de servicios SOA.</w:t>
      </w:r>
    </w:p>
    <w:bookmarkEnd w:id="0"/>
    <w:p>
      <w:pPr>
        <w:pStyle w:val="Textoindependiente"/>
      </w:pPr>
      <w:r>
        <w:rPr>
          <w:iCs/>
          <w:i/>
        </w:rPr>
        <w:t xml:space="preserve">Fuente: Diagnóstico SOA. E-Service (2022).</w:t>
      </w:r>
    </w:p>
    <w:p>
      <w:pPr>
        <w:pStyle w:val="Textoindependiente"/>
      </w:pPr>
    </w:p>
    <w:p>
      <w:pPr>
        <w:pStyle w:val="Textoindependiente"/>
      </w:pPr>
      <w:r>
        <w:t xml:space="preserve">Este modelo de gobierno está diseñado para enfrentar el caso particular del FNA que es aumentar la relevancia de los de modelos de arquitectura, que funcionen como lenguaje común entre los autores y actores, y la graduación del uso del repositorio de artefactos de arquitectura e ingeniería. En este modelo de gobierno, v0.5 que diseñamos para la empresa,</w:t>
      </w:r>
      <w:r>
        <w:t xml:space="preserve"> </w:t>
      </w:r>
      <w:r>
        <w:rPr>
          <w:iCs/>
          <w:i/>
        </w:rPr>
        <w:t xml:space="preserve">el repositorio de arquitectura es el corazón del gobierno</w:t>
      </w:r>
      <w:r>
        <w:t xml:space="preserve">; lo mismo para la oficina del arquitectua del FNA. Es también la base de los análisis de ingeniería que se comparten con proveedores y contratistas del Fondo Nacional del Ahorro.</w:t>
      </w:r>
    </w:p>
    <w:p>
      <w:pPr>
        <w:pStyle w:val="Textoindependiente"/>
      </w:pPr>
      <w:r>
        <w:t xml:space="preserve">El requerimiento de arquitectura, sea un Caso de Uso (nivel 0: negocio), una inversión de TI, sea adquisición, migración, consultoría (nivel 1:incidencia), o un requierimiento no funcional (nivel 2:ingeniería), es la entrada principal del modelo de gobierno.</w:t>
      </w:r>
    </w:p>
    <w:p>
      <w:pPr>
        <w:pStyle w:val="Textoindependiente"/>
      </w:pPr>
      <w:r>
        <w:t xml:space="preserve">Una vez definido esta nueva versión del modelo de gobierno del FNA, y descrito sus elementos, debemos dotarlo de un sentido operativo. Esto se hace mediante la declaración de las funciones y objetivos del gobierno a los que este modelo debe ceñirse y responder. De igual manera, los roles que constituyen la oficina de arquitectura del FNA.</w:t>
      </w:r>
    </w:p>
    <w:p>
      <w:pPr>
        <w:pStyle w:val="Textoindependiente"/>
      </w:pPr>
    </w:p>
    <w:bookmarkEnd w:id="3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6" Target="media/rId26.png" /><Relationship Type="http://schemas.openxmlformats.org/officeDocument/2006/relationships/hyperlink" Id="rId24" Target="https://https://stefaninilatam.sharepoint.com/SitePages/Home.aspx/fna-dd-f2-pry1/manuscript.pdf" TargetMode="External" /><Relationship Type="http://schemas.openxmlformats.org/officeDocument/2006/relationships/hyperlink" Id="rId22"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4" Target="https://https://stefaninilatam.sharepoint.com/SitePages/Home.aspx/fna-dd-f2-pry1/manuscript.pdf" TargetMode="External" /><Relationship Type="http://schemas.openxmlformats.org/officeDocument/2006/relationships/hyperlink" Id="rId22"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2023-06-24T19:17:08Z</dcterms:created>
  <dcterms:modified xsi:type="dcterms:W3CDTF">2023-06-24T19:17:08Z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