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rId3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997"/>
        <w:gridCol w:w="6922"/>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Modelo de Gobierno y CCF</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1.4e64f06</w:t>
            </w:r>
            <w:r>
              <w:t xml:space="preserve"> </w:t>
            </w:r>
            <w:r>
              <w:t xml:space="preserve">del 21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antecedentes-del-gobierno-soa-del-fna"/>
    <w:p>
      <w:pPr>
        <w:pStyle w:val="Ttulo1"/>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22">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23"/>
    <w:bookmarkStart w:id="25" w:name="Xecbfe52023a9c6e45a1a15f2d5bb48958b25eb5"/>
    <w:p>
      <w:pPr>
        <w:pStyle w:val="Ttulo1"/>
      </w:pPr>
      <w:r>
        <w:t xml:space="preserve">Modelo de Gobierno SOA del FNA: Actores, Información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24">
        <w:r>
          <w:rPr>
            <w:rStyle w:val="Hipervnculo"/>
          </w:rPr>
          <w:t xml:space="preserve">PR01. E-Service, Fase II</w:t>
        </w:r>
      </w:hyperlink>
      <w:r>
        <w:t xml:space="preserve">) pero no se agota ahí porque es necesario extenderlo a actores, interesados, usuarios y entidades relacionados con las partes de la arquitectura del FNA contenidas en la vista de segmento.</w:t>
      </w:r>
    </w:p>
    <w:p>
      <w:pPr>
        <w:pStyle w:val="Textoindependiente"/>
      </w:pPr>
      <w:r>
        <w:t xml:space="preserve">A cotinuación presentamos el modelo base de gobierno para el FNA, primera edición, versión 0.1.</w:t>
      </w:r>
    </w:p>
    <w:bookmarkEnd w:id="25"/>
    <w:bookmarkStart w:id="30" w:name="X37dedd9531ba7707d053a034ec51711cb867837"/>
    <w:p>
      <w:pPr>
        <w:pStyle w:val="Ttulo1"/>
      </w:pPr>
      <w:r>
        <w:t xml:space="preserve">Modelo de Gobierno SOA del FNA. Versión 0.2</w:t>
      </w:r>
    </w:p>
    <w:p>
      <w:pPr>
        <w:pStyle w:val="FirstParagraph"/>
      </w:pPr>
      <w:r>
        <w:t xml:space="preserve">La versión inicial del modelo de Gobierno SOA del FNA, propuesto en la Fase I de E-Service establece apenas las bases de lo que debe ser un marco de trabajo para gobierno SOA del FNA. Esta versión hace foco en un asunto general:</w:t>
      </w:r>
      <w:r>
        <w:t xml:space="preserve"> </w:t>
      </w:r>
      <w:r>
        <w:rPr>
          <w:iCs/>
          <w:i/>
        </w:rPr>
        <w:t xml:space="preserve">responder y gestionar la evolutición de la arquitectura de referencia SOA actual del Fondo Nacional del Ahorro</w:t>
      </w:r>
      <w:r>
        <w:t xml:space="preserve">, y deja para siguientes versiones de este marco de trabajo de gobierno SOA la inclusión de otras problemáticas que demanden mayor gobierno.</w:t>
      </w:r>
    </w:p>
    <w:bookmarkStart w:id="0" w:name="fig:1d1ca277-6fa8-49ed-abb6-d2ea67cf8e84"/>
    <w:p>
      <w:pPr>
        <w:pStyle w:val="CaptionedFigure"/>
      </w:pPr>
      <w:bookmarkStart w:id="29" w:name="fig:"/>
      <w:r>
        <w:drawing>
          <wp:inline>
            <wp:extent cx="5600700" cy="4485837"/>
            <wp:effectExtent b="0" l="0" r="0" t="0"/>
            <wp:docPr descr="Imagen 1: Modelo de Gobierno SOA del FNA, emisión inicial, versión 0.2. Gestiona la evolución de las arquitecturas de servicios SOA." title="" id="27" name="Picture"/>
            <a:graphic>
              <a:graphicData uri="http://schemas.openxmlformats.org/drawingml/2006/picture">
                <pic:pic>
                  <pic:nvPicPr>
                    <pic:cNvPr descr="images/modelo-gob.png" id="28" name="Picture"/>
                    <pic:cNvPicPr>
                      <a:picLocks noChangeArrowheads="1" noChangeAspect="1"/>
                    </pic:cNvPicPr>
                  </pic:nvPicPr>
                  <pic:blipFill>
                    <a:blip r:embed="rId26"/>
                    <a:stretch>
                      <a:fillRect/>
                    </a:stretch>
                  </pic:blipFill>
                  <pic:spPr bwMode="auto">
                    <a:xfrm>
                      <a:off x="0" y="0"/>
                      <a:ext cx="5600700" cy="4485837"/>
                    </a:xfrm>
                    <a:prstGeom prst="rect">
                      <a:avLst/>
                    </a:prstGeom>
                    <a:noFill/>
                    <a:ln w="9525">
                      <a:noFill/>
                      <a:headEnd/>
                      <a:tailEnd/>
                    </a:ln>
                  </pic:spPr>
                </pic:pic>
              </a:graphicData>
            </a:graphic>
          </wp:inline>
        </w:drawing>
      </w:r>
      <w:bookmarkEnd w:id="29"/>
    </w:p>
    <w:p>
      <w:pPr>
        <w:pStyle w:val="ImageCaption"/>
      </w:pPr>
      <w:r>
        <w:t xml:space="preserve">Imagen 1: Modelo de Gobierno SOA del FNA, emisión inicial, versión 0.2. Gestiona la evolución de las arquitecturas de servicios SOA.</w:t>
      </w:r>
    </w:p>
    <w:bookmarkEnd w:id="0"/>
    <w:p>
      <w:pPr>
        <w:pStyle w:val="Textoindependiente"/>
      </w:pPr>
      <w:r>
        <w:rPr>
          <w:iCs/>
          <w:i/>
        </w:rPr>
        <w:t xml:space="preserve">Fuente: Diagnóstico SOA. E-Service (2022).</w:t>
      </w:r>
    </w:p>
    <w:p>
      <w:pPr>
        <w:pStyle w:val="Textoindependiente"/>
      </w:pPr>
    </w:p>
    <w:bookmarkEnd w:id="30"/>
    <w:bookmarkStart w:id="41" w:name="Xb941bcca8629b2e870fd85bb5d07b9dfa78c272"/>
    <w:p>
      <w:pPr>
        <w:pStyle w:val="Ttulo1"/>
      </w:pPr>
      <w:r>
        <w:t xml:space="preserve">Modelo de Gobierno SOA del FNA. Versión 0.5</w:t>
      </w:r>
    </w:p>
    <w:p>
      <w:pPr>
        <w:pStyle w:val="FirstParagraph"/>
      </w:pPr>
      <w:r>
        <w:t xml:space="preserve">Ahora incorporamos en el modelo de gobierno del FNA el resultado del diagnóstico de susceptibilidad de gobierno realizado sobre los flujos críticos de trabajo elaborados en la Etapa 0 de este proyecto (ver</w:t>
      </w:r>
      <w:r>
        <w:t xml:space="preserve"> </w:t>
      </w:r>
      <w:hyperlink r:id="rId31">
        <w:r>
          <w:rPr>
            <w:rStyle w:val="Hipervnculo"/>
          </w:rPr>
          <w:t xml:space="preserve">Flujos Críticos de Trabajo FNA</w:t>
        </w:r>
      </w:hyperlink>
      <w:r>
        <w:t xml:space="preserve">) con el fin de dar darle gestión a las problemáticas encontradas en dicho diagnóstico. El diagrama siguiente presenta el mopdelo de gobierno resultante.</w:t>
      </w:r>
    </w:p>
    <w:p>
      <w:pPr>
        <w:pStyle w:val="Textoindependiente"/>
      </w:pPr>
      <w:r>
        <w:t xml:space="preserve">La nueva versión del modelo de gobierno del FNA incorpora las problemáticas encontradas en el producto 1 de este proyecto.</w:t>
      </w:r>
    </w:p>
    <w:bookmarkStart w:id="0" w:name="fig:40c7365f-e4f6-459f-934e-8daaf54c5fb3"/>
    <w:p>
      <w:pPr>
        <w:pStyle w:val="CaptionedFigure"/>
      </w:pPr>
      <w:bookmarkStart w:id="35" w:name="fig:"/>
      <w:r>
        <w:drawing>
          <wp:inline>
            <wp:extent cx="5600700" cy="3879326"/>
            <wp:effectExtent b="0" l="0" r="0" t="0"/>
            <wp:docPr descr="Imagen 2: Versión 0.5 del Modelo de Gobierno del FNA." title="" id="33" name="Picture"/>
            <a:graphic>
              <a:graphicData uri="http://schemas.openxmlformats.org/drawingml/2006/picture">
                <pic:pic>
                  <pic:nvPicPr>
                    <pic:cNvPr descr="images/modelogob05.png" id="34" name="Picture"/>
                    <pic:cNvPicPr>
                      <a:picLocks noChangeArrowheads="1" noChangeAspect="1"/>
                    </pic:cNvPicPr>
                  </pic:nvPicPr>
                  <pic:blipFill>
                    <a:blip r:embed="rId32"/>
                    <a:stretch>
                      <a:fillRect/>
                    </a:stretch>
                  </pic:blipFill>
                  <pic:spPr bwMode="auto">
                    <a:xfrm>
                      <a:off x="0" y="0"/>
                      <a:ext cx="5600700" cy="3879326"/>
                    </a:xfrm>
                    <a:prstGeom prst="rect">
                      <a:avLst/>
                    </a:prstGeom>
                    <a:noFill/>
                    <a:ln w="9525">
                      <a:noFill/>
                      <a:headEnd/>
                      <a:tailEnd/>
                    </a:ln>
                  </pic:spPr>
                </pic:pic>
              </a:graphicData>
            </a:graphic>
          </wp:inline>
        </w:drawing>
      </w:r>
      <w:bookmarkEnd w:id="35"/>
    </w:p>
    <w:p>
      <w:pPr>
        <w:pStyle w:val="ImageCaption"/>
      </w:pPr>
      <w:r>
        <w:t xml:space="preserve">Imagen 2: Versión 0.5 del Modelo de Gobierno del FNA.</w:t>
      </w:r>
    </w:p>
    <w:bookmarkEnd w:id="0"/>
    <w:p>
      <w:pPr>
        <w:pStyle w:val="Textoindependiente"/>
      </w:pPr>
      <w:r>
        <w:rPr>
          <w:iCs/>
          <w:i/>
        </w:rPr>
        <w:t xml:space="preserve">Fuente: Elaboración propia.</w:t>
      </w:r>
    </w:p>
    <w:p>
      <w:pPr>
        <w:pStyle w:val="Textoindependiente"/>
      </w:pPr>
    </w:p>
    <w:bookmarkStart w:id="36" w:name="Xa414ec3b4e2b3c7ebfcbcbc67ca5647409b6ff0"/>
    <w:p>
      <w:pPr>
        <w:pStyle w:val="Ttulo2"/>
      </w:pPr>
      <w:r>
        <w:t xml:space="preserve">Elementos del Modelo de Gobierno, versión 0.5</w:t>
      </w:r>
    </w:p>
    <w:p>
      <w:pPr>
        <w:pStyle w:val="FirstParagraph"/>
      </w:pPr>
      <w:r>
        <w:t xml:space="preserve">Descripción de los elementos del modelo de gobierno.</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Propds.</w:t>
            </w:r>
          </w:p>
        </w:tc>
      </w:tr>
      <w:tr>
        <w:tc>
          <w:tcPr/>
          <w:p>
            <w:pPr>
              <w:pStyle w:val="Compact"/>
              <w:jc w:val="left"/>
            </w:pPr>
            <w:r>
              <w:rPr>
                <w:bCs/>
                <w:b/>
              </w:rPr>
              <w:t xml:space="preserve">Bitácora Arquitectura</w:t>
            </w:r>
          </w:p>
        </w:tc>
        <w:tc>
          <w:tcPr/>
          <w:p>
            <w:pPr>
              <w:pStyle w:val="Compact"/>
              <w:jc w:val="left"/>
            </w:pPr>
            <w:r>
              <w:t xml:space="preserve">application-component</w:t>
            </w:r>
          </w:p>
        </w:tc>
        <w:tc>
          <w:tcPr/>
          <w:p>
            <w:pPr>
              <w:pStyle w:val="Compact"/>
              <w:jc w:val="left"/>
            </w:pPr>
            <w:r>
              <w:t xml:space="preserve">La bitácora de decisiones de arquitectura (ADR, por sus siglas en ingés) es una herramienta para ejercitar el proceso de toma de decisiones de la oficina. Mediante esta es posible estructurar y hacer seguimiento (versión y trazabilidad) a las discusiones de la oficina de arquitectura del FNA. Cumple el objetivo de materializar el consenso elevándolo a un grado oficial, al tiempo que reune a los arquitectos alrededor del mismo contexto, problema, restricciones, conveniencia (pro/con), alternativas y opciones de solución.</w:t>
            </w:r>
          </w:p>
        </w:tc>
        <w:tc>
          <w:tcPr/>
          <w:p>
            <w:pPr>
              <w:pStyle w:val="Compact"/>
            </w:pPr>
          </w:p>
        </w:tc>
      </w:tr>
      <w:tr>
        <w:tc>
          <w:tcPr/>
          <w:p>
            <w:pPr>
              <w:pStyle w:val="Compact"/>
              <w:jc w:val="left"/>
            </w:pPr>
            <w:r>
              <w:rPr>
                <w:bCs/>
                <w:b/>
              </w:rPr>
              <w:t xml:space="preserve">Documentación Técnica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Gestor de Requerimientos de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Modelo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Análisis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SOA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t xml:space="preserve">**Arquitectura FNA</w:t>
            </w:r>
          </w:p>
        </w:tc>
        <w:tc>
          <w:tcPr/>
          <w:p>
            <w:pPr>
              <w:pStyle w:val="Compact"/>
              <w:jc w:val="left"/>
            </w:pPr>
            <w:r>
              <w:t xml:space="preserve">application-interaction</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jc w:val="left"/>
            </w:pPr>
            <w:r>
              <w:t xml:space="preserve">Métricas, conclusiones, decisiones</w:t>
            </w:r>
          </w:p>
        </w:tc>
        <w:tc>
          <w:tcPr/>
          <w:p>
            <w:pPr>
              <w:pStyle w:val="Compact"/>
            </w:pPr>
          </w:p>
        </w:tc>
      </w:tr>
      <w:tr>
        <w:tc>
          <w:tcPr/>
          <w:p>
            <w:pPr>
              <w:pStyle w:val="Compact"/>
              <w:jc w:val="left"/>
            </w:pPr>
            <w:r>
              <w:rPr>
                <w:bCs/>
                <w:b/>
              </w:rPr>
              <w:t xml:space="preserve">Especificaciones (copy)</w:t>
            </w:r>
          </w:p>
        </w:tc>
        <w:tc>
          <w:tcPr/>
          <w:p>
            <w:pPr>
              <w:pStyle w:val="Compact"/>
              <w:jc w:val="left"/>
            </w:pPr>
            <w:r>
              <w:t xml:space="preserve">artifact</w:t>
            </w:r>
          </w:p>
        </w:tc>
        <w:tc>
          <w:tcPr/>
          <w:p>
            <w:pPr>
              <w:pStyle w:val="Compact"/>
            </w:pPr>
          </w:p>
        </w:tc>
        <w:tc>
          <w:tcPr/>
          <w:p>
            <w:pPr>
              <w:pStyle w:val="Compact"/>
            </w:pPr>
          </w:p>
        </w:tc>
      </w:tr>
      <w:tr>
        <w:tc>
          <w:tcPr/>
          <w:p>
            <w:pPr>
              <w:pStyle w:val="Compact"/>
              <w:jc w:val="left"/>
            </w:pPr>
            <w:r>
              <w:rPr>
                <w:bCs/>
                <w:b/>
              </w:rPr>
              <w:t xml:space="preserve">ALS01. Complejidad</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ALS02. Impacto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ALS03. Costo / Beneficio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ALS04. Específicos</w:t>
            </w:r>
            <w:r>
              <w:t xml:space="preserve">*</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Evento de cambio arquitectura SOA</w:t>
            </w:r>
          </w:p>
        </w:tc>
        <w:tc>
          <w:tcPr/>
          <w:p>
            <w:pPr>
              <w:pStyle w:val="Compact"/>
              <w:jc w:val="left"/>
            </w:pPr>
            <w:r>
              <w:t xml:space="preserve">business-event</w:t>
            </w:r>
          </w:p>
        </w:tc>
        <w:tc>
          <w:tcPr/>
          <w:p>
            <w:pPr>
              <w:pStyle w:val="Compact"/>
              <w:jc w:val="left"/>
            </w:pPr>
            <w:r>
              <w:t xml:space="preserve">Sucede un evento en que la arquitectura SOA, o alguna de los componentes de la arquitectura de referencia del FNA es imputado por un cambio. El cambio puede ser motivado por un requerimiento de arquitectura (TOGAF), una necesidad de negocio, o la adquisición de infraestructura (inversión de TI).</w:t>
            </w:r>
          </w:p>
        </w:tc>
        <w:tc>
          <w:tcPr/>
          <w:p>
            <w:pPr>
              <w:pStyle w:val="Compact"/>
            </w:pPr>
          </w:p>
        </w:tc>
      </w:tr>
      <w:tr>
        <w:tc>
          <w:tcPr/>
          <w:p>
            <w:pPr>
              <w:pStyle w:val="Compact"/>
              <w:jc w:val="left"/>
            </w:pPr>
            <w:r>
              <w:rPr>
                <w:bCs/>
                <w:b/>
              </w:rPr>
              <w:t xml:space="preserve">Arquitectura Empresarial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Cambios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Gobierno TI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Oficina Arquitectura FNA</w:t>
            </w:r>
          </w:p>
        </w:tc>
        <w:tc>
          <w:tcPr/>
          <w:p>
            <w:pPr>
              <w:pStyle w:val="Compact"/>
              <w:jc w:val="left"/>
            </w:pPr>
            <w:r>
              <w:t xml:space="preserve">business-interaction</w:t>
            </w:r>
          </w:p>
        </w:tc>
        <w:tc>
          <w:tcPr/>
          <w:p>
            <w:pPr>
              <w:pStyle w:val="Compact"/>
              <w:jc w:val="left"/>
            </w:pPr>
            <w:r>
              <w:t xml:space="preserve">La ofifina de arquitetura del FNA (LOAF) recibe (y puede objetar) el requerimiento de arquitecura. La objeción de un requerimiento puede ser discutido por el Comité de Arquitectura. Inmediatamente aceptado el requerimiento, los arquitectos en cada dominio deben iniciar los análisis sobre modelos. Si no existe modelos, estos deben ser realizados previo a los análisis.</w:t>
            </w:r>
          </w:p>
        </w:tc>
        <w:tc>
          <w:tcPr/>
          <w:p>
            <w:pPr>
              <w:pStyle w:val="Compact"/>
            </w:pPr>
          </w:p>
        </w:tc>
      </w:tr>
      <w:tr>
        <w:tc>
          <w:tcPr/>
          <w:p>
            <w:pPr>
              <w:pStyle w:val="Compact"/>
              <w:jc w:val="left"/>
            </w:pPr>
            <w:r>
              <w:rPr>
                <w:bCs/>
                <w:b/>
              </w:rPr>
              <w:t xml:space="preserve">Caso Uso de Negocio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Inversión TI</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Requerimiento de Arquitectura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Contrato de Gobierno SOA FNA</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Requerimiento</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Requerimiento</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Requerimiento</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Decisión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Decisión (copy)</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Decisión Arq.</w:t>
            </w:r>
          </w:p>
        </w:tc>
        <w:tc>
          <w:tcPr/>
          <w:p>
            <w:pPr>
              <w:pStyle w:val="Compact"/>
              <w:jc w:val="left"/>
            </w:pPr>
            <w:r>
              <w:t xml:space="preserve">data-object</w:t>
            </w:r>
          </w:p>
        </w:tc>
        <w:tc>
          <w:tcPr/>
          <w:p>
            <w:pPr>
              <w:pStyle w:val="Compact"/>
            </w:pPr>
          </w:p>
        </w:tc>
        <w:tc>
          <w:tcPr/>
          <w:p>
            <w:pPr>
              <w:pStyle w:val="Compact"/>
            </w:pPr>
          </w:p>
        </w:tc>
      </w:tr>
    </w:tbl>
    <w:p>
      <w:pPr>
        <w:pStyle w:val="Textoindependiente"/>
      </w:pPr>
    </w:p>
    <w:bookmarkEnd w:id="36"/>
    <w:bookmarkStart w:id="37" w:name="bitácora-de-decisiones-de-arquitectura"/>
    <w:p>
      <w:pPr>
        <w:pStyle w:val="Ttulo2"/>
      </w:pPr>
      <w:r>
        <w:t xml:space="preserve">Bitácora de Decisiones de Arquitectura</w:t>
      </w:r>
    </w:p>
    <w:p>
      <w:pPr>
        <w:pStyle w:val="FirstParagraph"/>
      </w:pPr>
      <w:r>
        <w:t xml:space="preserve">La bitácora de decisiones es una herramienta para gestionar la toma de decisiones de arquitectura. Por tal razón, estructurar y genera gestión seguimiento, (versión y trazabilidad) a las discusiones de la oficina de arquitectura del FNA. El objetivo de esta herramienta es el de consensuar a todos los arquitectos alrededor del mismo contexto, problema, restricciones, conveniencia (pro/con), alternativas y opciones de solución.</w:t>
      </w:r>
    </w:p>
    <w:bookmarkEnd w:id="37"/>
    <w:bookmarkStart w:id="38" w:name="repositorio-soa"/>
    <w:p>
      <w:pPr>
        <w:pStyle w:val="Ttulo2"/>
      </w:pPr>
      <w:r>
        <w:t xml:space="preserve">Repositorio SOA</w:t>
      </w:r>
    </w:p>
    <w:bookmarkEnd w:id="38"/>
    <w:bookmarkStart w:id="39" w:name="repositorio-análisis"/>
    <w:p>
      <w:pPr>
        <w:pStyle w:val="Ttulo2"/>
      </w:pPr>
      <w:r>
        <w:t xml:space="preserve">Repositorio Análisis</w:t>
      </w:r>
    </w:p>
    <w:bookmarkEnd w:id="39"/>
    <w:bookmarkStart w:id="40" w:name="documentación-técnica"/>
    <w:p>
      <w:pPr>
        <w:pStyle w:val="Ttulo2"/>
      </w:pPr>
      <w:r>
        <w:t xml:space="preserve">Documentación Técnica</w:t>
      </w:r>
    </w:p>
    <w:p>
      <w:pPr>
        <w:pStyle w:val="FirstParagraph"/>
      </w:pPr>
      <w:r>
        <w:t xml:space="preserve">Este modelo de gobierno está diseñado para enfrentar el caso particular del FNA que es aumentar la relevancia de los de modelos de arquitectura, que funcionen como lenguaje común entre los autores y actores, y la graduación del uso del repositorio de artefactos de arquitectura e ingeniería. En este modelo de gobierno, v0.5 que diseñamos para la empresa,</w:t>
      </w:r>
      <w:r>
        <w:t xml:space="preserve"> </w:t>
      </w:r>
      <w:r>
        <w:rPr>
          <w:iCs/>
          <w:i/>
        </w:rPr>
        <w:t xml:space="preserve">el repositorio de arquitectura es el corazón del gobierno</w:t>
      </w:r>
      <w:r>
        <w:t xml:space="preserve">; lo mismo para la oficina del arquitectua del FNA. Es también la base de los análisis de ingeniería que se comparten con proveedores y contratistas del Fondo Nacional del Ahorro.</w:t>
      </w:r>
    </w:p>
    <w:p>
      <w:pPr>
        <w:pStyle w:val="Textoindependiente"/>
      </w:pPr>
      <w:r>
        <w:t xml:space="preserve">El requerimiento de arquitectura, sea un Caso de Uso (nivel 0: negocio), una inversión de TI, sea adquisición, migración, consultoría (nivel 1:incidencia), o un requierimiento no funcional (nivel 2:ingeniería), es la entrada principal del modelo de gobierno.</w:t>
      </w:r>
    </w:p>
    <w:p>
      <w:pPr>
        <w:pStyle w:val="Textoindependiente"/>
      </w:pPr>
      <w:r>
        <w:t xml:space="preserve">Una vez definido esta nueva versión del modelo de gobierno del FNA, y descrito sus elementos, debemos dotarlo de un sentido operativo. Esto se hace mediante la declaración de las funciones y objetivos del gobierno a los que este modelo debe ceñirse y responder. De igual manera, los roles que constituyen la oficina de arquitectura del FNA.</w:t>
      </w:r>
    </w:p>
    <w:p>
      <w:pPr>
        <w:pStyle w:val="Textoindependiente"/>
      </w:pPr>
    </w:p>
    <w:bookmarkEnd w:id="40"/>
    <w:bookmarkEnd w:id="4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hyperlink" Id="rId31" Target="$(2:%7Bhttps://stefaninilatam.sharepoint.com/SitePages/Home.aspx%7D)" TargetMode="External"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31" Target="$(2:%7Bhttps://stefaninilatam.sharepoint.com/SitePages/Home.aspx%7D)" TargetMode="External"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2023-06-21T13:05:34Z</dcterms:created>
  <dcterms:modified xsi:type="dcterms:W3CDTF">2023-06-21T13:05:34Z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