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Habits</w:t>
      </w:r>
    </w:p>
    <w:p>
      <w:pPr>
        <w:pStyle w:val="Author"/>
      </w:pPr>
      <w:r>
        <w:t xml:space="preserve">HWO</w:t>
      </w:r>
    </w:p>
    <w:p>
      <w:pPr>
        <w:pStyle w:val="Fecha"/>
      </w:pPr>
      <w:r>
        <w:t xml:space="preserve">Junio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1.1b3d741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</w:t>
      </w:r>
      <w:r>
        <w:br/>
      </w:r>
      <w:r>
        <w:rPr>
          <w:rStyle w:val="VerbatimChar"/>
        </w:rPr>
        <w:t xml:space="preserve">- Agilidad limitada</w:t>
      </w:r>
      <w:r>
        <w:br/>
      </w:r>
      <w:r>
        <w:rPr>
          <w:rStyle w:val="VerbatimChar"/>
        </w:rPr>
        <w:t xml:space="preserve">- Complejidad e imprecisión en la trazabilidad</w:t>
      </w:r>
      <w:r>
        <w:br/>
      </w:r>
      <w:r>
        <w:rPr>
          <w:rStyle w:val="VerbatimChar"/>
        </w:rPr>
        <w:t xml:space="preserve">- Ocultamiento de funcionalidades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bookmarkEnd w:id="23"/>
    <w:bookmarkStart w:id="24" w:name="título"/>
    <w:p>
      <w:pPr>
        <w:pStyle w:val="Ttulo2"/>
      </w:pPr>
      <w:r>
        <w:t xml:space="preserve">Título</w:t>
      </w:r>
    </w:p>
    <w:p>
      <w:pPr>
        <w:pStyle w:val="FirstParagraph"/>
      </w:pPr>
      <w:r>
        <w:t xml:space="preserve">Esto define el contexto en el cual debe operar, y enfrentar, el nuevo gobierno SOA del FNA, versión 0.5. Esto es, las funciones del gobierno que atañen directamente a la oficina de arquitectura, dado que esta es la que las debe ejecutar, son</w:t>
      </w:r>
    </w:p>
    <w:p>
      <w:pPr>
        <w:numPr>
          <w:ilvl w:val="0"/>
          <w:numId w:val="1002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4"/>
    <w:bookmarkStart w:id="29" w:name="funciones-del-gobierno-soa-del-fna"/>
    <w:p>
      <w:pPr>
        <w:pStyle w:val="Ttulo2"/>
      </w:pPr>
      <w:r>
        <w:t xml:space="preserve">Funciones del Gobierno SOA del FNA</w:t>
      </w:r>
    </w:p>
    <w:bookmarkStart w:id="25" w:name="equilibrio-arquitectura-y-procesos-soa"/>
    <w:p>
      <w:pPr>
        <w:pStyle w:val="Ttulo3"/>
      </w:pPr>
      <w:r>
        <w:t xml:space="preserve">Equilibrio arquitectura y procesos SOA</w:t>
      </w:r>
    </w:p>
    <w:bookmarkEnd w:id="25"/>
    <w:bookmarkStart w:id="26" w:name="X9e585d85ac198fb4fa428defd3c13593f667a0e"/>
    <w:p>
      <w:pPr>
        <w:pStyle w:val="Ttulo3"/>
      </w:pPr>
      <w:r>
        <w:t xml:space="preserve">Supervisión de efectividad y factibilidad SOA</w:t>
      </w:r>
    </w:p>
    <w:bookmarkEnd w:id="26"/>
    <w:bookmarkStart w:id="27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7"/>
    <w:bookmarkStart w:id="28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>HWO</dc:creator>
  <cp:keywords/>
  <dcterms:created xsi:type="dcterms:W3CDTF">2023-06-15T12:58:09Z</dcterms:created>
  <dcterms:modified xsi:type="dcterms:W3CDTF">2023-06-15T12:58:09Z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Junio 2023</vt:lpwstr>
  </property>
  <property fmtid="{D5CDD505-2E9C-101B-9397-08002B2CF9AE}" pid="6" name="fignos-caption-name">
    <vt:lpwstr>Imagen</vt:lpwstr>
  </property>
  <property fmtid="{D5CDD505-2E9C-101B-9397-08002B2CF9AE}" pid="7" name="fignos-cleveref">
    <vt:lpwstr>True</vt:lpwstr>
  </property>
  <property fmtid="{D5CDD505-2E9C-101B-9397-08002B2CF9AE}" pid="8" name="fignos-plus-name">
    <vt:lpwstr>Fig.</vt:lpwstr>
  </property>
  <property fmtid="{D5CDD505-2E9C-101B-9397-08002B2CF9AE}" pid="9" name="geometry">
    <vt:lpwstr/>
  </property>
  <property fmtid="{D5CDD505-2E9C-101B-9397-08002B2CF9AE}" pid="10" name="link-citations">
    <vt:lpwstr>True</vt:lpwstr>
  </property>
  <property fmtid="{D5CDD505-2E9C-101B-9397-08002B2CF9AE}" pid="11" name="references">
    <vt:lpwstr/>
  </property>
  <property fmtid="{D5CDD505-2E9C-101B-9397-08002B2CF9AE}" pid="12" name="tablenos-caption-name">
    <vt:lpwstr>Tabla</vt:lpwstr>
  </property>
</Properties>
</file>