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Objetivos, Capacidades y Funciones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1.1313f6b</w:t>
            </w:r>
            <w:r>
              <w:t xml:space="preserve"> </w:t>
            </w:r>
            <w:r>
              <w:t xml:space="preserve">del 18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32" w:name="Xd4446c28c4cc2a918d752f1fc75abcca3927be6"/>
    <w:p>
      <w:pPr>
        <w:pStyle w:val="Ttulo1"/>
      </w:pPr>
      <w:r>
        <w:t xml:space="preserve">Definición de Objetivos, Funciones y Capacidades del Gobierno SOA</w:t>
      </w:r>
    </w:p>
    <w:p>
      <w:pPr>
        <w:pStyle w:val="FirstParagraph"/>
      </w:pPr>
      <w:r>
        <w:t xml:space="preserve">Los objetivos que vamos a definir para el gobierno SOA del FNA están dirigidos a las problemáticas encontradas en la Fase I, a saber: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Dado los niveles de complejidad que el FNA ha alcanzado y por los riesgos tecnológico que contraen las partes analizadas en la Fase 1 de este diagnóstico (...)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De las problemáticas encontradas en la Fase 1 del presente diagnóstico, (...))explícitamente a las que incrementan la complejidad de las soluciones tecnológicas y de software del FNA, _como lo es el manejo de dependencias de los servicios SOA del Fondo_. Es muy conocido que esta condición es la causa de la mayoría de los sobreesfuerzos en los cambios y de las dificultades a la hora de predecir su impacto.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(...) Estas complicaciones, que denotan un débil gobierno preexistente, se encuentran otras que fueron levantadas en la Fase 1 del diagnóstico E-Service: - Agilidad limitada, - Complejidad e imprecisión, en la trazabilidad, - Ocultamiento de funcionalidades.</w:t>
      </w:r>
    </w:p>
    <w:p>
      <w:pPr>
        <w:pStyle w:val="FirstParagraph"/>
      </w:pPr>
      <w:r>
        <w:t xml:space="preserve">Ver</w:t>
      </w:r>
      <w:r>
        <w:t xml:space="preserve"> </w:t>
      </w:r>
      <w:hyperlink r:id="rId22">
        <w:r>
          <w:rPr>
            <w:rStyle w:val="Hipervnculo"/>
          </w:rPr>
          <w:t xml:space="preserve">Resumen de Fase 1</w:t>
        </w:r>
      </w:hyperlink>
      <w:r>
        <w:t xml:space="preserve">.</w:t>
      </w:r>
    </w:p>
    <w:p>
      <w:pPr>
        <w:pStyle w:val="Textoindependiente"/>
      </w:pPr>
    </w:p>
    <w:p>
      <w:pPr>
        <w:pStyle w:val="Textoindependiente"/>
      </w:pPr>
      <w:r>
        <w:t xml:space="preserve">Las condiciones preexistentes en el FNA indicadas arriba definen el contexto en el cual debe operar, y el que hay que enfrentar con el nuevo gobierno SOA del FNA, versión 0.5. Esto es, para enfrentar este contexto requerimos antes que nada lo que llamaremos funciones del gobierno, y que estas sean explicitas para este contexto. del FNA. Estas funciones, además, deben tener un corresponsal directo, y esta es la oficina de arquitectura del FNA (LOAF), dado que esta es la que las debe ejecutar.</w:t>
      </w:r>
    </w:p>
    <w:p>
      <w:pPr>
        <w:pStyle w:val="Textoindependiente"/>
      </w:pPr>
      <w:r>
        <w:t xml:space="preserve">Las funciones que el gobierno SOA del FNA debe proveer, y que la oficina de arquitectura del FNA debe realizar, son:</w:t>
      </w:r>
    </w:p>
    <w:p>
      <w:pPr>
        <w:numPr>
          <w:ilvl w:val="0"/>
          <w:numId w:val="1002"/>
        </w:numPr>
        <w:pStyle w:val="Compact"/>
      </w:pPr>
      <w:r>
        <w:t xml:space="preserve">FUNC01. Vigilancia de alienación negocio-arquitectura</w:t>
      </w:r>
    </w:p>
    <w:p>
      <w:pPr>
        <w:numPr>
          <w:ilvl w:val="0"/>
          <w:numId w:val="1002"/>
        </w:numPr>
        <w:pStyle w:val="Compact"/>
      </w:pPr>
      <w:r>
        <w:t xml:space="preserve">FUNC02. Equilibrio arquitectura y procesos SOA</w:t>
      </w:r>
    </w:p>
    <w:p>
      <w:pPr>
        <w:numPr>
          <w:ilvl w:val="0"/>
          <w:numId w:val="1002"/>
        </w:numPr>
        <w:pStyle w:val="Compact"/>
      </w:pPr>
      <w:r>
        <w:t xml:space="preserve">FUNC03. Supervisión de efectividad y factibilidad SOA</w:t>
      </w:r>
    </w:p>
    <w:p>
      <w:pPr>
        <w:numPr>
          <w:ilvl w:val="0"/>
          <w:numId w:val="1002"/>
        </w:numPr>
        <w:pStyle w:val="Compact"/>
      </w:pPr>
      <w:r>
        <w:t xml:space="preserve">FUNC04. Mejora de los índices de efectividad (madurez) SOA</w:t>
      </w:r>
    </w:p>
    <w:p>
      <w:pPr>
        <w:numPr>
          <w:ilvl w:val="0"/>
          <w:numId w:val="1002"/>
        </w:numPr>
        <w:pStyle w:val="Compact"/>
      </w:pPr>
      <w:r>
        <w:t xml:space="preserve">FUNC05. Consideraciones para la puesta en marcha del gobierno SOA en el FNA</w:t>
      </w:r>
    </w:p>
    <w:p>
      <w:pPr>
        <w:pStyle w:val="FirstParagraph"/>
      </w:pPr>
    </w:p>
    <w:p>
      <w:pPr>
        <w:pStyle w:val="Textoindependiente"/>
      </w:pPr>
      <w:r>
        <w:t xml:space="preserve">En una vista de conjunto, queremos presentar el hecho de que las funciones de gobierno, en tanto que acciones, cendrán a convertirse en las responsabilidades que los integrantes del área de arquitectura del FNA deben cumplir. En la imagen siguiente dejamos explícitos estas responsabilidades.</w:t>
      </w:r>
    </w:p>
    <w:bookmarkStart w:id="0" w:name="fig:10abc7bd-8ce6-4932-ae4f-bdfb7fa33365"/>
    <w:p>
      <w:pPr>
        <w:pStyle w:val="CaptionedFigure"/>
      </w:pPr>
      <w:bookmarkStart w:id="26" w:name="fig:"/>
      <w:r>
        <w:drawing>
          <wp:inline>
            <wp:extent cx="5600700" cy="4402410"/>
            <wp:effectExtent b="0" l="0" r="0" t="0"/>
            <wp:docPr descr="Imagen 1: Funciones (responsabilidades) de la Oficina de Arquitectura del FNA. Gobierno SOA, v0.5." title="" id="24" name="Picture"/>
            <a:graphic>
              <a:graphicData uri="http://schemas.openxmlformats.org/drawingml/2006/picture">
                <pic:pic>
                  <pic:nvPicPr>
                    <pic:cNvPr descr="images/funcionesgobierno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02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Funciones (responsabilidades) de la Oficina de Arquitectura del FNA. Gobierno SOA, v0.5.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propia.)</w:t>
      </w:r>
    </w:p>
    <w:p>
      <w:pPr>
        <w:pStyle w:val="Textoindependiente"/>
      </w:pPr>
    </w:p>
    <w:bookmarkStart w:id="31" w:name="funciones-del-gobierno-soa-del-fna"/>
    <w:p>
      <w:pPr>
        <w:pStyle w:val="Ttulo2"/>
      </w:pPr>
      <w:r>
        <w:t xml:space="preserve">Funciones del Gobierno SOA del FNA</w:t>
      </w:r>
    </w:p>
    <w:bookmarkStart w:id="27" w:name="equilibrio-arquitectura-y-procesos-soa"/>
    <w:p>
      <w:pPr>
        <w:pStyle w:val="Ttulo3"/>
      </w:pPr>
      <w:r>
        <w:t xml:space="preserve">Equilibrio arquitectura y procesos SOA</w:t>
      </w:r>
    </w:p>
    <w:bookmarkEnd w:id="27"/>
    <w:bookmarkStart w:id="28" w:name="X9e585d85ac198fb4fa428defd3c13593f667a0e"/>
    <w:p>
      <w:pPr>
        <w:pStyle w:val="Ttulo3"/>
      </w:pPr>
      <w:r>
        <w:t xml:space="preserve">Supervisión de efectividad y factibilidad SOA</w:t>
      </w:r>
    </w:p>
    <w:bookmarkEnd w:id="28"/>
    <w:bookmarkStart w:id="29" w:name="Xcf3fb5954575e9f517c883c7c5b2a445b0eccea"/>
    <w:p>
      <w:pPr>
        <w:pStyle w:val="Ttulo3"/>
      </w:pPr>
      <w:r>
        <w:t xml:space="preserve">Mejora de los índices de efectividad (madurez) SOA</w:t>
      </w:r>
    </w:p>
    <w:bookmarkEnd w:id="29"/>
    <w:bookmarkStart w:id="30" w:name="Xc1322487bb449403080f53ca37d5f186008267f"/>
    <w:p>
      <w:pPr>
        <w:pStyle w:val="Ttulo3"/>
      </w:pPr>
      <w:r>
        <w:t xml:space="preserve">Consideraciones para la puesta en marcha del gobierno SOA en el FNA</w:t>
      </w:r>
    </w:p>
    <w:p>
      <w:r>
        <w:pict>
          <v:rect style="width:0;height:1.5pt" o:hralign="center" o:hrstd="t" o:hr="t"/>
        </w:pict>
      </w:r>
    </w:p>
    <w:bookmarkEnd w:id="30"/>
    <w:bookmarkEnd w:id="31"/>
    <w:bookmarkEnd w:id="3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2023-06-18T04:07:30Z</dcterms:created>
  <dcterms:modified xsi:type="dcterms:W3CDTF">2023-06-18T04:07:30Z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