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Habits</w:t>
      </w:r>
    </w:p>
    <w:p>
      <w:pPr>
        <w:pStyle w:val="Author"/>
      </w:pPr>
      <w:r>
        <w:t xml:space="preserve">HWO</w:t>
      </w:r>
    </w:p>
    <w:p>
      <w:pPr>
        <w:pStyle w:val="Fecha"/>
      </w:pPr>
      <w:r>
        <w:t xml:space="preserve">Junio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1.7e21057</w:t>
            </w:r>
            <w:r>
              <w:t xml:space="preserve"> </w:t>
            </w:r>
            <w:r>
              <w:t xml:space="preserve">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3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</w:t>
      </w:r>
      <w:r>
        <w:br/>
      </w:r>
      <w:r>
        <w:rPr>
          <w:rStyle w:val="VerbatimChar"/>
        </w:rPr>
        <w:t xml:space="preserve">- Agilidad limitada</w:t>
      </w:r>
      <w:r>
        <w:br/>
      </w:r>
      <w:r>
        <w:rPr>
          <w:rStyle w:val="VerbatimChar"/>
        </w:rPr>
        <w:t xml:space="preserve">- Complejidad e imprecisión en la trazabilidad</w:t>
      </w:r>
      <w:r>
        <w:br/>
      </w:r>
      <w:r>
        <w:rPr>
          <w:rStyle w:val="VerbatimChar"/>
        </w:rPr>
        <w:t xml:space="preserve">- Ocultamiento de funcionalidades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Esto define el contexto en el cual debe operar, y enfrentar, el nuevo gobierno SOA del FNA, versión 0.5. Esto es, las funciones del gobierno que atañen directamente a la oficina de arquitectura, dado que esta es la que las debe ejecutar, son</w:t>
      </w:r>
    </w:p>
    <w:p>
      <w:pPr>
        <w:numPr>
          <w:ilvl w:val="0"/>
          <w:numId w:val="1002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23"/>
    <w:bookmarkStart w:id="28" w:name="funciones-del-gobierno-soa-del-fna"/>
    <w:p>
      <w:pPr>
        <w:pStyle w:val="Ttulo2"/>
      </w:pPr>
      <w:r>
        <w:t xml:space="preserve">Funciones del Gobierno SOA del FNA</w:t>
      </w:r>
    </w:p>
    <w:bookmarkStart w:id="24" w:name="equilibrio-arquitectura-y-procesos-soa"/>
    <w:p>
      <w:pPr>
        <w:pStyle w:val="Ttulo3"/>
      </w:pPr>
      <w:r>
        <w:t xml:space="preserve">Equilibrio arquitectura y procesos SOA</w:t>
      </w:r>
    </w:p>
    <w:bookmarkEnd w:id="24"/>
    <w:bookmarkStart w:id="25" w:name="X9e585d85ac198fb4fa428defd3c13593f667a0e"/>
    <w:p>
      <w:pPr>
        <w:pStyle w:val="Ttulo3"/>
      </w:pPr>
      <w:r>
        <w:t xml:space="preserve">Supervisión de efectividad y factibilidad SOA</w:t>
      </w:r>
    </w:p>
    <w:bookmarkEnd w:id="25"/>
    <w:bookmarkStart w:id="26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6"/>
    <w:bookmarkStart w:id="27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Habits</dc:title>
  <dc:creator>HWO</dc:creator>
  <cp:keywords/>
  <dcterms:created xsi:type="dcterms:W3CDTF">2023-06-14T22:45:20Z</dcterms:created>
  <dcterms:modified xsi:type="dcterms:W3CDTF">2023-06-14T22:45:20Z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Junio 2023</vt:lpwstr>
  </property>
  <property fmtid="{D5CDD505-2E9C-101B-9397-08002B2CF9AE}" pid="6" name="fignos-caption-name">
    <vt:lpwstr>Imagen</vt:lpwstr>
  </property>
  <property fmtid="{D5CDD505-2E9C-101B-9397-08002B2CF9AE}" pid="7" name="fignos-cleveref">
    <vt:lpwstr>True</vt:lpwstr>
  </property>
  <property fmtid="{D5CDD505-2E9C-101B-9397-08002B2CF9AE}" pid="8" name="fignos-plus-name">
    <vt:lpwstr>Fig.</vt:lpwstr>
  </property>
  <property fmtid="{D5CDD505-2E9C-101B-9397-08002B2CF9AE}" pid="9" name="geometry">
    <vt:lpwstr/>
  </property>
  <property fmtid="{D5CDD505-2E9C-101B-9397-08002B2CF9AE}" pid="10" name="link-citations">
    <vt:lpwstr>True</vt:lpwstr>
  </property>
  <property fmtid="{D5CDD505-2E9C-101B-9397-08002B2CF9AE}" pid="11" name="references">
    <vt:lpwstr/>
  </property>
  <property fmtid="{D5CDD505-2E9C-101B-9397-08002B2CF9AE}" pid="12" name="tablenos-caption-name">
    <vt:lpwstr>Tabla</vt:lpwstr>
  </property>
</Properties>
</file>