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1.f388490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demos que las funciones de gobierno, en tanto que acciones, vienen a ser las responsabilidades que los integrantes del área de arquitectura del FNA deben cumplir. En la imagen siguiente dejamos explícitos estas responsabilidades.</w:t>
      </w:r>
    </w:p>
    <w:bookmarkStart w:id="0" w:name="fig:8d599bb4-6f20-4800-b88c-9cd711d429ee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7"/>
    <w:bookmarkStart w:id="32" w:name="funciones-del-gobierno-soa-del-fna"/>
    <w:p>
      <w:pPr>
        <w:pStyle w:val="Ttulo2"/>
      </w:pPr>
      <w:r>
        <w:t xml:space="preserve">Funciones del Gobierno SOA del FNA</w:t>
      </w:r>
    </w:p>
    <w:bookmarkStart w:id="28" w:name="equilibrio-arquitectura-y-procesos-soa"/>
    <w:p>
      <w:pPr>
        <w:pStyle w:val="Ttulo3"/>
      </w:pPr>
      <w:r>
        <w:t xml:space="preserve">Equilibrio arquitectura y procesos SOA</w:t>
      </w:r>
    </w:p>
    <w:bookmarkEnd w:id="28"/>
    <w:bookmarkStart w:id="29" w:name="X9e585d85ac198fb4fa428defd3c13593f667a0e"/>
    <w:p>
      <w:pPr>
        <w:pStyle w:val="Ttulo3"/>
      </w:pPr>
      <w:r>
        <w:t xml:space="preserve">Supervisión de efectividad y factibilidad SOA</w:t>
      </w:r>
    </w:p>
    <w:bookmarkEnd w:id="29"/>
    <w:bookmarkStart w:id="30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30"/>
    <w:bookmarkStart w:id="31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2023-06-15T19:26:25Z</dcterms:created>
  <dcterms:modified xsi:type="dcterms:W3CDTF">2023-06-15T19:26:25Z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