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modelo de gobierno resultante.</w:t>
      </w:r>
    </w:p>
    <w:p>
      <w:pPr>
        <w:pStyle w:val="Textoindependiente"/>
      </w:pPr>
      <w:r>
        <w:t xml:space="preserve">La nueva versión del modelo de gobierno del FNA incorpora las problemáticas encontradas en el producto 1 de este proyecto.</w:t>
      </w:r>
    </w:p>
    <w:bookmarkStart w:id="0" w:name="fig:0406b806-201f-4312-8b5c-50fd57e406fc"/>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 mínimos que permiten el funcionamiento de esta versión.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inglés)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reúne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requeridos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o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2023-07-24T13:27:43Z</dcterms:created>
  <dcterms:modified xsi:type="dcterms:W3CDTF">2023-07-24T13:27:43Z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