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modelo de gobierno resultante.</w:t>
      </w:r>
    </w:p>
    <w:p>
      <w:pPr>
        <w:pStyle w:val="Textoindependiente"/>
      </w:pPr>
      <w:r>
        <w:t xml:space="preserve">La nueva versión del modelo de gobierno del FNA incorpora las problemáticas encontradas en el producto 1 de este proyecto.</w:t>
      </w:r>
    </w:p>
    <w:bookmarkStart w:id="0" w:name="fig:0a1e449f-416e-49d9-82ff-a3dd0ca5f391"/>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 mínimos que permiten el funcionamiento de esta versión.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inglés)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reúne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jc w:val="left"/>
            </w:pPr>
            <w:r>
              <w:t xml:space="preserve">Emitir documentos homogéneos. Aplicación de estilos permitidos de documentación técnica. Normalización de canal y medios de publicación de documentación técnica: HTML, markdown y PDF.</w:t>
            </w: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requeridos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o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 aportan a este sentido operativo.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2023-08-10T21:25:40Z</dcterms:created>
  <dcterms:modified xsi:type="dcterms:W3CDTF">2023-08-10T21:25:40Z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