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bitácora-de-decisiones-de-arquitectura"/>
    <w:p>
      <w:pPr>
        <w:pStyle w:val="Ttulo2"/>
      </w:pPr>
      <w:r>
        <w:t xml:space="preserve">Bitácora de Decisiones de Arquitectura</w:t>
      </w:r>
    </w:p>
    <w:p>
      <w:pPr>
        <w:pStyle w:val="FirstParagraph"/>
      </w:pPr>
      <w:r>
        <w:t xml:space="preserve">La bitácora de decisiones es una herramienta para gestionar la toma de decisiones de arquitectura. Por tal razón, estructurar y genera gestión seguimiento, (versión y trazabilidad) a las discusiones de la oficina de arquitectura del FNA. El objetivo de esta herramienta es el de consensuar a todos los arquitectos alrededor del mismo contexto, problema, restricciones, conveniencia (pro/con), alternativas y opciones de solución.</w:t>
      </w:r>
    </w:p>
    <w:p>
      <w:pPr>
        <w:pStyle w:val="Textoindependiente"/>
      </w:pPr>
      <w:r>
        <w:t xml:space="preserve">Para poner en marcha una especialización de la ADR (bitácora de arquitectura), vea</w:t>
      </w:r>
      <w:r>
        <w:t xml:space="preserve"> </w:t>
      </w:r>
      <w:hyperlink r:id="rId20">
        <w:r>
          <w:rPr>
            <w:rStyle w:val="Hipervnculo"/>
          </w:rPr>
          <w:t xml:space="preserve">Consideraciones para Operar la Bitácora</w:t>
        </w:r>
      </w:hyperlink>
      <w:r>
        <w:t xml:space="preserve">.</w:t>
      </w:r>
    </w:p>
    <w:bookmarkEnd w:id="21"/>
    <w:bookmarkStart w:id="22" w:name="declaración-de-trabajo-de-arquitectura"/>
    <w:p>
      <w:pPr>
        <w:pStyle w:val="Ttulo2"/>
      </w:pPr>
      <w:r>
        <w:t xml:space="preserve">Declaración de Trabajo de Arquitectura</w:t>
      </w:r>
    </w:p>
    <w:p>
      <w:pPr>
        <w:pStyle w:val="FirstParagraph"/>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w:t>
      </w:r>
    </w:p>
    <w:p>
      <w:pPr>
        <w:pStyle w:val="Textoindependiente"/>
      </w:pPr>
      <w:r>
        <w:t xml:space="preserve">El objetivo de esta información es ser el insumo para la toma de decisiones de la gestión de tecnología del FNA, y servir en el dimensionamiento y gestión de los acuerdos contractuales entre el proveedor y la empresa.</w:t>
      </w:r>
    </w:p>
    <w:p>
      <w:pPr>
        <w:pStyle w:val="Textoindependiente"/>
      </w:pPr>
      <w:r>
        <w:t xml:space="preserve">La declaración de trabajo puede contener, como mínimo,</w:t>
      </w:r>
    </w:p>
    <w:p>
      <w:pPr>
        <w:numPr>
          <w:ilvl w:val="0"/>
          <w:numId w:val="1001"/>
        </w:numPr>
        <w:pStyle w:val="Compact"/>
      </w:pPr>
      <w:r>
        <w:t xml:space="preserve">Descripción del trabajo/solicitud</w:t>
      </w:r>
    </w:p>
    <w:p>
      <w:pPr>
        <w:numPr>
          <w:ilvl w:val="0"/>
          <w:numId w:val="1001"/>
        </w:numPr>
        <w:pStyle w:val="Compact"/>
      </w:pPr>
      <w:r>
        <w:t xml:space="preserve">Contexto tras el trabajo (solicitud) de arquitectura</w:t>
      </w:r>
    </w:p>
    <w:p>
      <w:pPr>
        <w:numPr>
          <w:ilvl w:val="0"/>
          <w:numId w:val="1001"/>
        </w:numPr>
        <w:pStyle w:val="Compact"/>
      </w:pPr>
      <w:r>
        <w:t xml:space="preserve">Denominación del proyecto de arquitectura y alcance (una vez aprobado el cambio)</w:t>
      </w:r>
    </w:p>
    <w:p>
      <w:pPr>
        <w:numPr>
          <w:ilvl w:val="0"/>
          <w:numId w:val="1001"/>
        </w:numPr>
        <w:pStyle w:val="Compact"/>
      </w:pPr>
      <w:r>
        <w:t xml:space="preserve">Prerequisitos para la ejecución del cambio (Vision)</w:t>
      </w:r>
    </w:p>
    <w:p>
      <w:pPr>
        <w:numPr>
          <w:ilvl w:val="0"/>
          <w:numId w:val="1001"/>
        </w:numPr>
        <w:pStyle w:val="Compact"/>
      </w:pPr>
      <w:r>
        <w:t xml:space="preserve">Esquema de trabajo del cambio en cada dominio y componente de la arquitectura</w:t>
      </w:r>
    </w:p>
    <w:p>
      <w:pPr>
        <w:numPr>
          <w:ilvl w:val="0"/>
          <w:numId w:val="1001"/>
        </w:numPr>
        <w:pStyle w:val="Compact"/>
      </w:pPr>
      <w:r>
        <w:t xml:space="preserve">Equipo de trabajo, roles, responsabilidades y entregables</w:t>
      </w:r>
    </w:p>
    <w:p>
      <w:pPr>
        <w:numPr>
          <w:ilvl w:val="0"/>
          <w:numId w:val="1001"/>
        </w:numPr>
        <w:pStyle w:val="Compact"/>
      </w:pPr>
      <w:r>
        <w:t xml:space="preserve">Criterios de aceptación</w:t>
      </w:r>
    </w:p>
    <w:p>
      <w:pPr>
        <w:numPr>
          <w:ilvl w:val="0"/>
          <w:numId w:val="1001"/>
        </w:numPr>
        <w:pStyle w:val="Compact"/>
      </w:pPr>
      <w:r>
        <w:t xml:space="preserve">Plan de trabajo y calendario</w:t>
      </w:r>
    </w:p>
    <w:p>
      <w:pPr>
        <w:numPr>
          <w:ilvl w:val="0"/>
          <w:numId w:val="1001"/>
        </w:numPr>
        <w:pStyle w:val="Compact"/>
      </w:pPr>
      <w:r>
        <w:t xml:space="preserve">Aprobaciones</w:t>
      </w:r>
      <w:r>
        <w:t xml:space="preserve"> </w:t>
      </w:r>
    </w:p>
    <w:bookmarkEnd w:id="22"/>
    <w:bookmarkStart w:id="23" w:name="repositorio-soa"/>
    <w:p>
      <w:pPr>
        <w:pStyle w:val="Ttulo2"/>
      </w:pPr>
      <w:r>
        <w:t xml:space="preserve">Repositorio SOA</w:t>
      </w:r>
    </w:p>
    <w:bookmarkEnd w:id="23"/>
    <w:bookmarkStart w:id="24" w:name="repositorio-análisis"/>
    <w:p>
      <w:pPr>
        <w:pStyle w:val="Ttulo2"/>
      </w:pPr>
      <w:r>
        <w:t xml:space="preserve">Repositorio Análisis</w:t>
      </w:r>
    </w:p>
    <w:bookmarkEnd w:id="24"/>
    <w:bookmarkStart w:id="25" w:name="documentación-técnica"/>
    <w:p>
      <w:pPr>
        <w:pStyle w:val="Ttulo2"/>
      </w:pPr>
      <w:r>
        <w:t xml:space="preserve">Documentación Técnica</w:t>
      </w:r>
    </w:p>
    <w:p>
      <w:pPr>
        <w:pStyle w:val="FirstParagraph"/>
      </w:pPr>
      <w:r>
        <w:t xml:space="preserve">Esta capacidad de documentación técnica es requerido para emitir documentos homogéneos. Este componente debe evitar la proliferación y uso de estilos no permitidos de documentación técnica entre las oficinas de arquitectura y grupos de trabajo involucrados con estas.</w:t>
      </w:r>
    </w:p>
    <w:p>
      <w:pPr>
        <w:pStyle w:val="Textoindependiente"/>
      </w:pPr>
      <w:r>
        <w:t xml:space="preserve">Otra función de esta capacidad es la normalización de la publicación y el uso del medio (tipo de documentos HTML, markdown y PDF) y canal oficial de divulgación y distribución de contenidos de la oficina de arquitctura.</w:t>
      </w:r>
    </w:p>
    <w:p>
      <w:pPr>
        <w:pStyle w:val="Textoindependiente"/>
      </w:pPr>
    </w:p>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2023-07-21T11:19:41Z</dcterms:created>
  <dcterms:modified xsi:type="dcterms:W3CDTF">2023-07-21T11:19:41Z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