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p>
      <w:pPr>
        <w:pStyle w:val="Textoindependiente"/>
      </w:pPr>
      <w:r>
        <w:t xml:space="preserve">Para poner en marcha una especialización de la ADR (bitácora de arquitectura), vea</w:t>
      </w:r>
      <w:r>
        <w:t xml:space="preserve"> </w:t>
      </w:r>
      <w:hyperlink r:id="rId20">
        <w:r>
          <w:rPr>
            <w:rStyle w:val="Hipervnculo"/>
          </w:rPr>
          <w:t xml:space="preserve">Consideraciones para Operar la Bitácora</w:t>
        </w:r>
      </w:hyperlink>
      <w:r>
        <w:t xml:space="preserve">.</w:t>
      </w:r>
    </w:p>
    <w:bookmarkEnd w:id="21"/>
    <w:bookmarkStart w:id="22"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p>
    <w:p>
      <w:pPr>
        <w:numPr>
          <w:ilvl w:val="0"/>
          <w:numId w:val="1001"/>
        </w:numPr>
        <w:pStyle w:val="Compact"/>
      </w:pPr>
      <w:r>
        <w:t xml:space="preserve">Descripción del trabajo/solicitud</w:t>
      </w:r>
    </w:p>
    <w:p>
      <w:pPr>
        <w:numPr>
          <w:ilvl w:val="0"/>
          <w:numId w:val="1001"/>
        </w:numPr>
        <w:pStyle w:val="Compact"/>
      </w:pPr>
      <w:r>
        <w:t xml:space="preserve">Contexto tras el trabajo (solicitud) de arquitectura</w:t>
      </w:r>
    </w:p>
    <w:p>
      <w:pPr>
        <w:numPr>
          <w:ilvl w:val="0"/>
          <w:numId w:val="1001"/>
        </w:numPr>
        <w:pStyle w:val="Compact"/>
      </w:pPr>
      <w:r>
        <w:t xml:space="preserve">Denominación del proyecto de arquitectura y alcance (una vez aprobado el cambio)</w:t>
      </w:r>
    </w:p>
    <w:p>
      <w:pPr>
        <w:numPr>
          <w:ilvl w:val="0"/>
          <w:numId w:val="1001"/>
        </w:numPr>
        <w:pStyle w:val="Compact"/>
      </w:pPr>
      <w:r>
        <w:t xml:space="preserve">Prerequisitos para la ejecución del cambio (Vision)</w:t>
      </w:r>
    </w:p>
    <w:p>
      <w:pPr>
        <w:numPr>
          <w:ilvl w:val="0"/>
          <w:numId w:val="1001"/>
        </w:numPr>
        <w:pStyle w:val="Compact"/>
      </w:pPr>
      <w:r>
        <w:t xml:space="preserve">Esquema de trabajo del cambio en cada dominio y componente de la arquitectura</w:t>
      </w:r>
    </w:p>
    <w:p>
      <w:pPr>
        <w:numPr>
          <w:ilvl w:val="0"/>
          <w:numId w:val="1001"/>
        </w:numPr>
        <w:pStyle w:val="Compact"/>
      </w:pPr>
      <w:r>
        <w:t xml:space="preserve">Equipo de trabajo, roles, responsabilidades y entregables</w:t>
      </w:r>
    </w:p>
    <w:p>
      <w:pPr>
        <w:numPr>
          <w:ilvl w:val="0"/>
          <w:numId w:val="1001"/>
        </w:numPr>
        <w:pStyle w:val="Compact"/>
      </w:pPr>
      <w:r>
        <w:t xml:space="preserve">Criterios de aceptación</w:t>
      </w:r>
    </w:p>
    <w:p>
      <w:pPr>
        <w:numPr>
          <w:ilvl w:val="0"/>
          <w:numId w:val="1001"/>
        </w:numPr>
        <w:pStyle w:val="Compact"/>
      </w:pPr>
      <w:r>
        <w:t xml:space="preserve">Plan de trabajo y calendario</w:t>
      </w:r>
    </w:p>
    <w:p>
      <w:pPr>
        <w:numPr>
          <w:ilvl w:val="0"/>
          <w:numId w:val="1001"/>
        </w:numPr>
        <w:pStyle w:val="Compact"/>
      </w:pPr>
      <w:r>
        <w:t xml:space="preserve">Aprobaciones</w:t>
      </w:r>
      <w:r>
        <w:t xml:space="preserve"> </w:t>
      </w:r>
    </w:p>
    <w:bookmarkEnd w:id="22"/>
    <w:bookmarkStart w:id="23" w:name="repositorio-soa"/>
    <w:p>
      <w:pPr>
        <w:pStyle w:val="Ttulo2"/>
      </w:pPr>
      <w:r>
        <w:t xml:space="preserve">Repositorio SOA</w:t>
      </w:r>
    </w:p>
    <w:bookmarkEnd w:id="23"/>
    <w:bookmarkStart w:id="24" w:name="repositorio-análisis"/>
    <w:p>
      <w:pPr>
        <w:pStyle w:val="Ttulo2"/>
      </w:pPr>
      <w:r>
        <w:t xml:space="preserve">Repositorio Análisis</w:t>
      </w:r>
    </w:p>
    <w:bookmarkEnd w:id="24"/>
    <w:bookmarkStart w:id="25" w:name="documentación-técnica"/>
    <w:p>
      <w:pPr>
        <w:pStyle w:val="Ttulo2"/>
      </w:pPr>
      <w:r>
        <w:t xml:space="preserve">Documentación Técnica</w:t>
      </w:r>
    </w:p>
    <w:p>
      <w:pPr>
        <w:pStyle w:val="FirstParagraph"/>
      </w:pPr>
      <w:r>
        <w:t xml:space="preserve">Esta capacidad de documentación técnica es requerido para emitir documentos homogéneos. Este componente debe evitar la proliferación y uso de estilos no permitidos de documentación técnica entre las oficinas de arquitectura y grupos de trabajo involucrados con estas.</w:t>
      </w:r>
    </w:p>
    <w:p>
      <w:pPr>
        <w:pStyle w:val="Textoindependiente"/>
      </w:pPr>
      <w:r>
        <w:t xml:space="preserve">Otra función de esta capacidad es la normalización de la publicación y el uso del medio (tipo de documentos HTML, markdown y PDF) y canal oficial de divulgación y distribución de contenidos de la oficina de arquitctura.</w:t>
      </w:r>
    </w:p>
    <w:p>
      <w:pPr>
        <w:pStyle w:val="Textoindependiente"/>
      </w:pP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2023-06-28T19:42:44Z</dcterms:created>
  <dcterms:modified xsi:type="dcterms:W3CDTF">2023-06-28T19:42:44Z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