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1.45b2663</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149fdc05-93e0-4fbe-866e-9cd9eb4586a4"/>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modelo los bloques de solución</w:t>
      </w:r>
      <w:r>
        <w:t xml:space="preserve"> </w:t>
      </w:r>
      <w:r>
        <w:rPr>
          <w:rStyle w:val="Refdenotaalpie"/>
        </w:rPr>
        <w:footnoteReference w:id="27"/>
      </w:r>
      <w:r>
        <w:br/>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p>
    <w:p>
      <w:pPr>
        <w:pStyle w:val="Textoindependiente"/>
      </w:pPr>
      <w:r>
        <w:t xml:space="preserve">En la siguiente imagen ilustramos esta variante del flujo de trabajo de la oficina de arquitectura del FNA.</w:t>
      </w:r>
    </w:p>
    <w:bookmarkStart w:id="0" w:name="fig:fa3f05e8-7dd1-4035-b01b-fcf013adbb6b"/>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2023-06-18T04:01:39Z</dcterms:created>
  <dcterms:modified xsi:type="dcterms:W3CDTF">2023-06-18T04:01:39Z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