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example-id"/>
    <w:p>
      <w:pPr>
        <w:pStyle w:val="FirstParagraph"/>
      </w:pPr>
      <w:bookmarkStart w:id="20" w:name="fig:example-id"/>
      <w:r>
        <w:t xml:space="preserve">Figure 1: Objetivos principal y específicos del Gobierno SOA del FNA, versión 0.5.</w:t>
      </w:r>
      <w:bookmarkEnd w:id="20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1"/>
    <w:bookmarkStart w:id="23" w:name="X6e9366b944ddb4fcdc547909337efc56ee4135b"/>
    <w:p>
      <w:pPr>
        <w:pStyle w:val="Ttulo3"/>
      </w:pPr>
      <w:r>
        <w:t xml:space="preserve">Objetivos Específicos y Secundarios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este objetivo cabe enfatizar el control sobre la inversión de TI, que en la práctica propuesta se vigilar la efectividad y factibilidad de los proyectos SOA de la organización en términos de los resultados de</w:t>
      </w:r>
    </w:p>
    <w:p>
      <w:pPr>
        <w:numPr>
          <w:ilvl w:val="1"/>
          <w:numId w:val="1002"/>
        </w:numPr>
        <w:pStyle w:val="Compact"/>
      </w:pPr>
      <w:r>
        <w:t xml:space="preserve">el análisis de factibilidad SOA</w:t>
      </w:r>
    </w:p>
    <w:p>
      <w:pPr>
        <w:numPr>
          <w:ilvl w:val="1"/>
          <w:numId w:val="1002"/>
        </w:numPr>
        <w:pStyle w:val="Compact"/>
      </w:pPr>
      <w:r>
        <w:t xml:space="preserve">la efectividad esperada de la inversión (cálculo del costo / beneficio)</w:t>
      </w:r>
    </w:p>
    <w:p>
      <w:pPr>
        <w:numPr>
          <w:ilvl w:val="0"/>
          <w:numId w:val="1000"/>
        </w:numPr>
      </w:pPr>
      <w:r>
        <w:t xml:space="preserve">Ambos análisis que deben quedar relacionados en el repositorio de la oficina de arquitectura del FNA, objeto de este proyecto.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2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</w:t>
      </w:r>
      <w:r>
        <w:t xml:space="preserve"> </w:t>
      </w:r>
      <w:hyperlink w:anchor="fig:example-id">
        <w:r>
          <w:rPr>
            <w:rStyle w:val="Hipervnculo"/>
          </w:rPr>
          <w:t xml:space="preserve">1</w:t>
        </w:r>
      </w:hyperlink>
      <w:r>
        <w:t xml:space="preserve">.</w:t>
      </w:r>
    </w:p>
    <w:bookmarkEnd w:id="23"/>
    <w:bookmarkStart w:id="33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3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3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3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272d5867-512e-48d2-9228-91cbfbd2a655"/>
    <w:p>
      <w:pPr>
        <w:pStyle w:val="CaptionedFigure"/>
      </w:pPr>
      <w:bookmarkStart w:id="27" w:name="fig:"/>
      <w:r>
        <w:drawing>
          <wp:inline>
            <wp:extent cx="5600700" cy="4177941"/>
            <wp:effectExtent b="0" l="0" r="0" t="0"/>
            <wp:docPr descr="Figure 2: Objetivos secundarios del gobierno SOA del FNA" title="" id="25" name="Picture"/>
            <a:graphic>
              <a:graphicData uri="http://schemas.openxmlformats.org/drawingml/2006/picture">
                <pic:pic>
                  <pic:nvPicPr>
                    <pic:cNvPr descr="images/gobiernobjetivo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0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8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29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29"/>
    <w:bookmarkEnd w:id="30"/>
    <w:bookmarkStart w:id="31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1"/>
    <w:bookmarkStart w:id="32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2023-06-15T18:13:44Z</dcterms:created>
  <dcterms:modified xsi:type="dcterms:W3CDTF">2023-06-15T18:13:44Z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