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2.jpg" ContentType="image/jpeg"/>
  <Override PartName="/word/media/rId41.png" ContentType="image/png"/>
  <Override PartName="/word/media/rId35.png" ContentType="image/png"/>
  <Override PartName="/word/media/rId31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320"/>
        <w:gridCol w:w="660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Modelo de Gobierno SOA. v0.5:</w:t>
            </w:r>
            <w:r>
              <w:t xml:space="preserve"> </w:t>
            </w:r>
            <w:r>
              <w:rPr>
                <w:bCs/>
                <w:b/>
              </w:rPr>
              <w:t xml:space="preserve">Objetivos del Gobierno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Contexto, Áreas, Procesos, Objetivos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1.1b619cb</w:t>
            </w:r>
            <w:r>
              <w:t xml:space="preserve"> </w:t>
            </w:r>
            <w:r>
              <w:t xml:space="preserve">del 22 Jun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Ejecución Plan de Trabajo SOA</w:t>
              </w:r>
            </w:hyperlink>
            <w:r>
              <w:t xml:space="preserve">;</w:t>
            </w:r>
            <w:r>
              <w:t xml:space="preserve"> </w:t>
            </w:r>
            <w:hyperlink r:id="rId21">
              <w:r>
                <w:rPr>
                  <w:rStyle w:val="Hipervnculo"/>
                </w:rPr>
                <w:t xml:space="preserve">Procesos de Negocio FNA</w:t>
              </w:r>
            </w:hyperlink>
          </w:p>
        </w:tc>
      </w:tr>
    </w:tbl>
    <w:p>
      <w:pPr>
        <w:pStyle w:val="Textoindependiente"/>
      </w:pPr>
    </w:p>
    <w:bookmarkStart w:id="26" w:name="X0decf040c79a6fd347613aeeddb5ab366b2ff53"/>
    <w:p>
      <w:pPr>
        <w:pStyle w:val="Ttulo2"/>
      </w:pPr>
      <w:r>
        <w:t xml:space="preserve">Objetivo Principal del Gobierno SOA del FNA</w:t>
      </w:r>
    </w:p>
    <w:p>
      <w:pPr>
        <w:pStyle w:val="FirstParagraph"/>
      </w:pPr>
      <w:r>
        <w:t xml:space="preserve">Una vez identificadas estas problemáticas existentes en la empresa FNA, y que podemos resumir en 1) riesgo tecnológico, 2) complejidad y 3) nivel de formalización de la arquitectura dentro de los desarrollos e implementaciones del FNA, el gobierno SOA propuesto para el Fondo, versión 0.5, tiene un objetivo general que es el siguiente</w:t>
      </w:r>
    </w:p>
    <w:p>
      <w:pPr>
        <w:pStyle w:val="Textodebloque"/>
      </w:pPr>
      <w:r>
        <w:t xml:space="preserve">El gobierno SOA es el vigía de las relaciones entre las áreas de negocio (la vicepresidencia de operaciones y la vicepresidencia de crédito del FNA) y la implementación y diseño de soluciones SOA. El gobierno SOA del Fondo debe asistir en la aplicación y ejecución de un régimen (estándar) de implementación, observación y puesta en marcha de soluciones SOA.</w:t>
      </w:r>
    </w:p>
    <w:bookmarkStart w:id="0" w:name="fig:objetivos-id"/>
    <w:p>
      <w:pPr>
        <w:pStyle w:val="CaptionedFigure"/>
      </w:pPr>
      <w:bookmarkStart w:id="25" w:name="fig:objetivos-id"/>
      <w:r>
        <w:drawing>
          <wp:inline>
            <wp:extent cx="5600700" cy="3426588"/>
            <wp:effectExtent b="0" l="0" r="0" t="0"/>
            <wp:docPr descr="Imagen 1: Objetivos principal y específicos del Gobierno SOA del FNA, versión 0.5." title="" id="23" name="Picture"/>
            <a:graphic>
              <a:graphicData uri="http://schemas.openxmlformats.org/drawingml/2006/picture">
                <pic:pic>
                  <pic:nvPicPr>
                    <pic:cNvPr descr="images/GobiernoSOA.3n1.jp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4265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Imagen 1: Objetivos principal y específicos del Gobierno SOA del FNA, versión 0.5.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p>
      <w:pPr>
        <w:pStyle w:val="Textoindependiente"/>
      </w:pPr>
      <w:r>
        <w:t xml:space="preserve">Para sustentar este objetivo general, que puede resumirse en</w:t>
      </w:r>
      <w:r>
        <w:t xml:space="preserve"> </w:t>
      </w:r>
      <w:r>
        <w:t xml:space="preserve">“</w:t>
      </w:r>
      <w:r>
        <w:t xml:space="preserve">mantener y gestionar la relación de negocio con la arquitectura TI del FNA</w:t>
      </w:r>
      <w:r>
        <w:t xml:space="preserve">”</w:t>
      </w:r>
      <w:r>
        <w:t xml:space="preserve">, debemos consignar objetivos específicos, tales que sean asignables y responsabilizables a los actores principales del gobierno v0.5. Estos objetivos específicos, como mínimo, son los que describimos a continuación.</w:t>
      </w:r>
    </w:p>
    <w:bookmarkEnd w:id="26"/>
    <w:bookmarkStart w:id="40" w:name="objetivos-específicos-del-gobierno"/>
    <w:p>
      <w:pPr>
        <w:pStyle w:val="Ttulo2"/>
      </w:pPr>
      <w:r>
        <w:t xml:space="preserve">Objetivos Específicos del Gobierno</w:t>
      </w:r>
    </w:p>
    <w:p>
      <w:pPr>
        <w:pStyle w:val="FirstParagraph"/>
      </w:pPr>
      <w:r>
        <w:t xml:space="preserve">Los objetivos asignables a los roles constituyentes de la oficina de arquitectura del FNA que garantizan el cumplimiento del objetivo general del gobierno son los siguientes.</w:t>
      </w:r>
    </w:p>
    <w:p>
      <w:pPr>
        <w:numPr>
          <w:ilvl w:val="0"/>
          <w:numId w:val="1001"/>
        </w:numPr>
        <w:pStyle w:val="Compact"/>
      </w:pPr>
      <w:r>
        <w:t xml:space="preserve">G-OBJ1. Vigilancia del riesgo tecnológico</w:t>
      </w:r>
    </w:p>
    <w:p>
      <w:pPr>
        <w:numPr>
          <w:ilvl w:val="0"/>
          <w:numId w:val="1001"/>
        </w:numPr>
        <w:pStyle w:val="Compact"/>
      </w:pPr>
      <w:r>
        <w:t xml:space="preserve">G-OBJ2. Vigilar el crecimiento de la complejidad y el impacto de los nuevos cambios en la arquitectura SOA del FNA</w:t>
      </w:r>
    </w:p>
    <w:p>
      <w:pPr>
        <w:numPr>
          <w:ilvl w:val="0"/>
          <w:numId w:val="1001"/>
        </w:numPr>
        <w:pStyle w:val="Compact"/>
      </w:pPr>
      <w:r>
        <w:t xml:space="preserve">G-OBJ3. Vigilar y perseguir el aumento de los índices de adopción, adaptación y efectividad SOA</w:t>
      </w:r>
    </w:p>
    <w:p>
      <w:pPr>
        <w:pStyle w:val="FirstParagraph"/>
      </w:pPr>
    </w:p>
    <w:p>
      <w:pPr>
        <w:pStyle w:val="Textoindependiente"/>
      </w:pPr>
      <w:r>
        <w:t xml:space="preserve">Los objetivos princiapl y específicos se encuentran ilustrados arriba, en la imagen</w:t>
      </w:r>
      <w:r>
        <w:t xml:space="preserve"> </w:t>
      </w:r>
      <w:r>
        <w:rPr>
          <w:iCs/>
          <w:i/>
        </w:rPr>
        <w:t xml:space="preserve">Objetivos principal y específicos del Gobierno SOA del FNA</w:t>
      </w:r>
      <w:r>
        <w:t xml:space="preserve">, arriba Fig. </w:t>
      </w:r>
      <w:hyperlink w:anchor="fig:objetivos-id">
        <w:r>
          <w:rPr>
            <w:rStyle w:val="Hipervnculo"/>
          </w:rPr>
          <w:t xml:space="preserve">1</w:t>
        </w:r>
      </w:hyperlink>
      <w:r>
        <w:t xml:space="preserve">. A continuación trataremos detalles de cada objetivo específico.</w:t>
      </w:r>
    </w:p>
    <w:bookmarkStart w:id="29" w:name="Xa26f50d9d2dc49753c1803d09efa61b9a7ca4e1"/>
    <w:p>
      <w:pPr>
        <w:pStyle w:val="Ttulo3"/>
      </w:pPr>
      <w:r>
        <w:t xml:space="preserve">G-OBJ1. Vigilancia del Riesgo Tecnológico</w:t>
      </w:r>
    </w:p>
    <w:p>
      <w:pPr>
        <w:pStyle w:val="FirstParagraph"/>
      </w:pPr>
      <w:r>
        <w:t xml:space="preserve">La definición de riesgos tecnológico que perseguimos en este ejercicio de diseño de gobierno SOA tiene que ver únicamente con los dominios de arquitectura</w:t>
      </w:r>
      <w:r>
        <w:rPr>
          <w:rStyle w:val="Refdenotaalpie"/>
        </w:rPr>
        <w:footnoteReference w:id="27"/>
      </w:r>
      <w:r>
        <w:t xml:space="preserve">, a los que estos impacten. Esta clasificación de los riesgos técnicos, y para efectos del ejercicio de gobierno objeto de este proyecto, es eficaz porque le facilita a cada arquitecto focalizar y mitigar aquellos riesgos relacionados con su dominio particular, que en este contexto consideramos como dominios de arquitectura a: servicios, aplicaciones, datos e infraestructura. Los riesgos transversales, como los causados por la deuda técnica, los clasificaremos en el dominio de servicios.</w:t>
      </w:r>
    </w:p>
    <w:p>
      <w:pPr>
        <w:pStyle w:val="Textoindependiente"/>
      </w:pPr>
      <w:r>
        <w:t xml:space="preserve">Una vez organizado slos riegos técnicos por dominio, cada uno deberá: hacer seguimiento a la inversión tecnológica, la cual involucra a los provedores del FNA y colaboración con externos; segundo, evaluar y constatar la implementación de herramientas de software, la cual podría limitarse a servicios SOA; y finalmente, controlar la adopción de nuevos diseños, nuevos marcos de trabajo, librerías o componentes de terceros.</w:t>
      </w:r>
    </w:p>
    <w:p>
      <w:pPr>
        <w:pStyle w:val="Textoindependiente"/>
      </w:pPr>
      <w:r>
        <w:t xml:space="preserve">De este objetivo enfatizamos el control sobre la inversión de TI, que en la práctica trata sobre vigilar la efectividad y factibilidad de los proyectos SOA de la organización mediante los resultados del</w:t>
      </w:r>
      <w:r>
        <w:t xml:space="preserve"> </w:t>
      </w:r>
      <w:r>
        <w:t xml:space="preserve">1. análisis de factibilidad SOA</w:t>
      </w:r>
      <w:r>
        <w:t xml:space="preserve"> </w:t>
      </w:r>
      <w:r>
        <w:t xml:space="preserve">1. y la efectividad esperada de la inversión (cálculo del costo / beneficio)</w:t>
      </w:r>
    </w:p>
    <w:p>
      <w:pPr>
        <w:pStyle w:val="Textoindependiente"/>
      </w:pPr>
      <w:r>
        <w:t xml:space="preserve">Ambos análisis deben quedar relacionados en el repositorio de la oficina de arquitectura del FNA, objeto de este proyecto.</w:t>
      </w:r>
    </w:p>
    <w:bookmarkStart w:id="28" w:name="niveles-de-riesgo-técnico-para-del-fna"/>
    <w:p>
      <w:pPr>
        <w:pStyle w:val="Ttulo4"/>
      </w:pPr>
      <w:r>
        <w:t xml:space="preserve">Niveles de Riesgo Técnico para del FNA</w:t>
      </w:r>
    </w:p>
    <w:p>
      <w:pPr>
        <w:pStyle w:val="FirstParagraph"/>
      </w:pPr>
      <w:r>
        <w:t xml:space="preserve">Aún cuando tengamos la clasificación de riesgos técnicos, requerimos contar con niveles de criticidad a los riesgos técnicos (organizados por dominio de arquiteura). Los niveles que consideramos pertinentes para este trabajo de gobierno SOA del FNA son riesgo de nivel inicial y nivel residual.</w:t>
      </w:r>
    </w:p>
    <w:p>
      <w:pPr>
        <w:pStyle w:val="Textoindependiente"/>
      </w:pPr>
      <w:r>
        <w:t xml:space="preserve">La definición de cada nivel de riesgo es como sigue.</w:t>
      </w:r>
      <w:r>
        <w:t xml:space="preserve"> </w:t>
      </w:r>
      <w:r>
        <w:t xml:space="preserve">* Riesgo Técnico Inicial: nivel de riesgo al momento de su identificación en las arquitecturas del FNA. El riesgo permanece en este nivel antes y durante la implementación de las acciones de mitigación.</w:t>
      </w:r>
      <w:r>
        <w:t xml:space="preserve"> </w:t>
      </w:r>
      <w:r>
        <w:t xml:space="preserve">* Riesgo Técnico Reisudal: este nivel que toma el riesgo técnico luego de la implementación de las acciones de mitigación.</w:t>
      </w:r>
    </w:p>
    <w:bookmarkEnd w:id="28"/>
    <w:bookmarkEnd w:id="29"/>
    <w:bookmarkStart w:id="30" w:name="X02aa4bbda48fdd5ed710b91b8bfc8b6cb34e0c9"/>
    <w:p>
      <w:pPr>
        <w:pStyle w:val="Ttulo3"/>
      </w:pPr>
      <w:r>
        <w:t xml:space="preserve">G-OBJS2. Vigilar la Complejidad e Impacto en la Arquitectura SOA del Fondo</w:t>
      </w:r>
    </w:p>
    <w:p>
      <w:pPr>
        <w:pStyle w:val="FirstParagraph"/>
      </w:pPr>
      <w:r>
        <w:t xml:space="preserve">Una de las mayores limitaciones para diseñar soluciones para los sistemas de información, aplicaciones y herramientas de software es tener las habilidades y herramientas para entenderlos (antes de diseñar). A medida que los sistemas, y los programas debajo de estos, evolucionan y adquieren más características, los sistemas y las aplicaciones de software se vuelven complicados, con sutiles y crecientes dependencias entre sus componentes. Con el tiempo, la complejidad se acumula, y se vuelve cada vez más difícil para los ingenieros y desarrolladores, el mantener organizado (y en su conocimiento) todos los factores relevantes de la implementación mientras se encargan de modificar los sistemas. Esto ralentiza el desarrollo y conduce a fallos, que a su vez aumenta la lentitud del desarrollo agregandole costos al proceso. La complejidad incrementa inevitablemente. Mientras más componentes tenga el sistema (tamaño) y más personas trabajen en él (actores), mayor la dificultad para manejar la complejidad.</w:t>
      </w:r>
    </w:p>
    <w:p>
      <w:pPr>
        <w:pStyle w:val="Textoindependiente"/>
      </w:pPr>
      <w:r>
        <w:t xml:space="preserve">Desarrollar las habilidades y herramientas para representar, organizar y divulgar las ideas funcionales y sus detalles de implementación es lo que llamamos gestionar la complejidad en este contexto.</w:t>
      </w:r>
    </w:p>
    <w:bookmarkEnd w:id="30"/>
    <w:bookmarkStart w:id="39" w:name="X85a3aa6e5079aa748cd286fc188147c88a6c079"/>
    <w:p>
      <w:pPr>
        <w:pStyle w:val="Ttulo3"/>
      </w:pPr>
      <w:r>
        <w:t xml:space="preserve">G-OBJ3. Vigilar y Alcanzar los Índices de Efectividad SOA</w:t>
      </w:r>
    </w:p>
    <w:p>
      <w:pPr>
        <w:pStyle w:val="FirstParagraph"/>
      </w:pPr>
      <w:r>
        <w:t xml:space="preserve">Para el modelo de gobierno del FNA vamos a utilizar dos sistemas de índices de rendimiento. Para el primero, equiparamos la definición de efectividad de arquitectura con el modelo de madurez OSIMM de TOGAF. A partir de ahí, desarrollaremos los índices sujetos de este objetivo. En este sentido, tomaremos como referencia la versión inicial de estos índices desarrolados en los análisis de madurez realizado en E-Service, Fase 1. A saber:</w:t>
      </w:r>
    </w:p>
    <w:bookmarkStart w:id="0" w:name="fig:2500d95c-ddca-4955-bf9a-cad70c25e1f7"/>
    <w:p>
      <w:pPr>
        <w:pStyle w:val="CaptionedFigure"/>
      </w:pPr>
      <w:bookmarkStart w:id="34" w:name="fig:"/>
      <w:r>
        <w:drawing>
          <wp:inline>
            <wp:extent cx="5600700" cy="4232267"/>
            <wp:effectExtent b="0" l="0" r="0" t="0"/>
            <wp:docPr descr="Imagen 2: índices de efectividad de las arquitecturas del FNA." title="" id="32" name="Picture"/>
            <a:graphic>
              <a:graphicData uri="http://schemas.openxmlformats.org/drawingml/2006/picture">
                <pic:pic>
                  <pic:nvPicPr>
                    <pic:cNvPr descr="images/madurezInfo_graf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2322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Imagen 2: índices de efectividad de las arquitecturas del FNA.</w:t>
      </w:r>
    </w:p>
    <w:bookmarkEnd w:id="0"/>
    <w:p>
      <w:pPr>
        <w:pStyle w:val="Textoindependiente"/>
      </w:pPr>
      <w:r>
        <w:rPr>
          <w:iCs/>
          <w:i/>
        </w:rPr>
        <w:t xml:space="preserve">Fuente: Diagnóstico SOA. E-Service (2022).</w:t>
      </w:r>
    </w:p>
    <w:p>
      <w:pPr>
        <w:pStyle w:val="Textoindependiente"/>
      </w:pPr>
    </w:p>
    <w:p>
      <w:pPr>
        <w:pStyle w:val="Textoindependiente"/>
      </w:pPr>
      <w:r>
        <w:t xml:space="preserve">Es deber de este objetivo establecer y desplegar los procedimientos para garantizar el aumento de estos índices de efectividad, así como monitorear el rendimiento (KPI) de los procesos de arquitecura involucrados y definidos más adelante.</w:t>
      </w:r>
    </w:p>
    <w:p>
      <w:pPr>
        <w:pStyle w:val="Textoindependiente"/>
      </w:pPr>
      <w:r>
        <w:t xml:space="preserve">El segundo sistema de índices que utilizaremos es el desarrollado por la Fase I de E-Service. En este, establecemos como indicador clave</w:t>
      </w:r>
      <w:r>
        <w:t xml:space="preserve"> </w:t>
      </w:r>
      <w:r>
        <w:rPr>
          <w:iCs/>
          <w:i/>
        </w:rPr>
        <w:t xml:space="preserve">que el FNA mantenga el vínculo de sus activos tanto de infraestructura como los activos SOA con el contexto de negocio de las vicepresidencias de Operaciones y de Crédito</w:t>
      </w:r>
      <w:r>
        <w:t xml:space="preserve">. Esto es, el principal indicador del gobierno SOA es la existencia y la vigencia de los vínculos entre los contextos de negocio y la arquitectura de referencia SOA FNA, y su tecnología.</w:t>
      </w:r>
    </w:p>
    <w:p>
      <w:pPr>
        <w:pStyle w:val="Textoindependiente"/>
      </w:pPr>
      <w:r>
        <w:t xml:space="preserve">Este solo indicador del gobierno SOA, el del vínculo de los contextos negocio-tecnología SOA, que es útil también para otras disciplinas de gestión TI,</w:t>
      </w:r>
      <w:r>
        <w:t xml:space="preserve"> </w:t>
      </w:r>
      <w:r>
        <w:rPr>
          <w:iCs/>
          <w:i/>
        </w:rPr>
        <w:t xml:space="preserve">identifica y justifica los costos de un cambio en relación al Valor de negocio que pueda traer</w:t>
      </w:r>
      <w:r>
        <w:t xml:space="preserve">. Sirve además de base para los procesos la mayoría de las decisiones de cambio, mejora, inversión, reforma, y otras propias de la gestión de la tecnología SOA. También funciona para medir la confiabilidad de los análisis que sobre los modelos se realicen.</w:t>
      </w:r>
      <w:r>
        <w:t xml:space="preserve"> </w:t>
      </w:r>
      <w:r>
        <w:rPr>
          <w:iCs/>
          <w:i/>
        </w:rPr>
        <w:t xml:space="preserve">Es por estas razones que para el Fondo este es el principal indicador de gobierno SOA a desarrollar</w:t>
      </w:r>
      <w:r>
        <w:t xml:space="preserve">.</w:t>
      </w:r>
    </w:p>
    <w:p>
      <w:pPr>
        <w:pStyle w:val="Textoindependiente"/>
      </w:pPr>
      <w:r>
        <w:t xml:space="preserve">De todos los indicadores de gestión del gobierno, el del Vínculo Contexto Negocio-SOA es el más importante para el FNA. Para mantener el puntaje de este indicador alto debe recurrir a la actualización y mantenimiento del repositorio de arquitectura. En la medida en que este repositorio capture la mayor cantidad de información de los contextos referidos, el indicador aumentará, a la vez que el repositorio será un activo clave para todas las opeaciones de gestión de TI del FNA.</w:t>
      </w:r>
    </w:p>
    <w:bookmarkStart w:id="0" w:name="fig:1538dae8-8c6a-4493-8d72-d3bde3584150"/>
    <w:p>
      <w:pPr>
        <w:pStyle w:val="CaptionedFigure"/>
      </w:pPr>
      <w:bookmarkStart w:id="38" w:name="fig:"/>
      <w:r>
        <w:drawing>
          <wp:inline>
            <wp:extent cx="5600700" cy="3248963"/>
            <wp:effectExtent b="0" l="0" r="0" t="0"/>
            <wp:docPr descr="Imagen 3: Indicador principal del gobierno SOA: KPI de Vínculo Contexto Negocio-SOA. Identifica y justifica los cambios SOA en relación al Valor de negocio." title="" id="36" name="Picture"/>
            <a:graphic>
              <a:graphicData uri="http://schemas.openxmlformats.org/drawingml/2006/picture">
                <pic:pic>
                  <pic:nvPicPr>
                    <pic:cNvPr descr="images/indicadoresgob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2489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Imagen 3: Indicador principal del gobierno SOA: KPI de Vínculo Contexto Negocio-SOA. Identifica y justifica los cambios SOA en relación al Valor de negocio.</w:t>
      </w:r>
    </w:p>
    <w:bookmarkEnd w:id="0"/>
    <w:p>
      <w:pPr>
        <w:pStyle w:val="Textoindependiente"/>
      </w:pPr>
      <w:r>
        <w:rPr>
          <w:iCs/>
          <w:i/>
        </w:rPr>
        <w:t xml:space="preserve">Fuente: Diagnóstico SOA. E-Service (2022).</w:t>
      </w:r>
    </w:p>
    <w:p>
      <w:pPr>
        <w:pStyle w:val="Textoindependiente"/>
      </w:pPr>
    </w:p>
    <w:bookmarkEnd w:id="39"/>
    <w:bookmarkEnd w:id="40"/>
    <w:bookmarkStart w:id="45" w:name="otros-objetivos-del-gobierno-soa"/>
    <w:p>
      <w:pPr>
        <w:pStyle w:val="Ttulo2"/>
      </w:pPr>
      <w:r>
        <w:t xml:space="preserve">Otros Objetivos del Gobierno SOA</w:t>
      </w:r>
    </w:p>
    <w:p>
      <w:pPr>
        <w:pStyle w:val="FirstParagraph"/>
      </w:pPr>
      <w:r>
        <w:t xml:space="preserve">Para complementar la lista de objetivos específicos del gobierno SOA, v0.5, del FNA, la lista siguiente expone objetivos suplementarios, o que aplican bajo ciertas condiciones o relaciones con otros proyectos transformadores, como la Arquitectura Empresarial, transformación digital, arquitectura de negocio, entre otros.</w:t>
      </w:r>
    </w:p>
    <w:p>
      <w:pPr>
        <w:numPr>
          <w:ilvl w:val="0"/>
          <w:numId w:val="1002"/>
        </w:numPr>
        <w:pStyle w:val="Compact"/>
      </w:pPr>
      <w:r>
        <w:t xml:space="preserve">Desde el área, o rol, de gobierno SOA del FNA, servir de guía en la entrega de soluciones de software conforme a la arquitectura de referencia estregada por esta consultoría.</w:t>
      </w:r>
    </w:p>
    <w:p>
      <w:pPr>
        <w:numPr>
          <w:ilvl w:val="0"/>
          <w:numId w:val="1002"/>
        </w:numPr>
        <w:pStyle w:val="Compact"/>
      </w:pPr>
      <w:r>
        <w:t xml:space="preserve">Informar de desviaciones en la relación de efectividad de costos de los proyectos SOA del FNA en términos del área de inefectividad de costo e infactibilidad SOA.</w:t>
      </w:r>
    </w:p>
    <w:p>
      <w:pPr>
        <w:numPr>
          <w:ilvl w:val="0"/>
          <w:numId w:val="1002"/>
        </w:numPr>
        <w:pStyle w:val="Compact"/>
      </w:pPr>
      <w:r>
        <w:t xml:space="preserve">Hacer el seguimiento de las implementaciones de los cambios en la arquitectura de referencia: phase G, Implementation Governance, TOGAF ADM.</w:t>
      </w:r>
    </w:p>
    <w:p>
      <w:pPr>
        <w:pStyle w:val="FirstParagraph"/>
      </w:pPr>
    </w:p>
    <w:p>
      <w:pPr>
        <w:pStyle w:val="Textoindependiente"/>
      </w:pPr>
      <w:r>
        <w:t xml:space="preserve">La imagen siguiente preesenta el conjunto de objetivos principales y secundarios que el Gobierno SOA del FNA, versión 0.5, debe perseguir y cumplir.</w:t>
      </w:r>
    </w:p>
    <w:bookmarkStart w:id="0" w:name="fig:84f20eb4-cdda-4c45-a9e5-1cbe58e3a07e"/>
    <w:p>
      <w:pPr>
        <w:pStyle w:val="CaptionedFigure"/>
      </w:pPr>
      <w:bookmarkStart w:id="44" w:name="fig:"/>
      <w:r>
        <w:drawing>
          <wp:inline>
            <wp:extent cx="5600700" cy="4177941"/>
            <wp:effectExtent b="0" l="0" r="0" t="0"/>
            <wp:docPr descr="Imagen 4: Objetivos secundarios del gobierno SOA del FNA" title="" id="42" name="Picture"/>
            <a:graphic>
              <a:graphicData uri="http://schemas.openxmlformats.org/drawingml/2006/picture">
                <pic:pic>
                  <pic:nvPicPr>
                    <pic:cNvPr descr="images/gobiernobjetivos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1779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Imagen 4: Objetivos secundarios del gobierno SOA del FNA</w:t>
      </w:r>
    </w:p>
    <w:bookmarkEnd w:id="0"/>
    <w:p>
      <w:pPr>
        <w:pStyle w:val="Textoindependiente"/>
      </w:pPr>
      <w:r>
        <w:rPr>
          <w:iCs/>
          <w:i/>
        </w:rPr>
        <w:t xml:space="preserve">Fuente: Diagnóstico SOA. E-Service (2022)</w:t>
      </w:r>
    </w:p>
    <w:p>
      <w:pPr>
        <w:pStyle w:val="Textoindependiente"/>
      </w:pPr>
    </w:p>
    <w:bookmarkEnd w:id="4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7">
    <w:p>
      <w:pPr>
        <w:pStyle w:val="Textonotapie"/>
      </w:pPr>
      <w:r>
        <w:rPr>
          <w:rStyle w:val="Refdenotaalpie"/>
        </w:rPr>
        <w:footnoteRef/>
      </w:r>
      <w:r>
        <w:t xml:space="preserve"> </w:t>
      </w:r>
      <w:r>
        <w:t xml:space="preserve">TOGAF 9.1. Risk Management (2023): En https://pubs.opengroup.org/architecture/togaf9-doc/arch/chap27.html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2" Target="media/rId22.jpg" /><Relationship Type="http://schemas.openxmlformats.org/officeDocument/2006/relationships/image" Id="rId41" Target="media/rId41.png" /><Relationship Type="http://schemas.openxmlformats.org/officeDocument/2006/relationships/image" Id="rId35" Target="media/rId35.png" /><Relationship Type="http://schemas.openxmlformats.org/officeDocument/2006/relationships/image" Id="rId31" Target="media/rId31.png" /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2023-06-22T13:23:41Z</dcterms:created>
  <dcterms:modified xsi:type="dcterms:W3CDTF">2023-06-22T13:23:41Z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