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rId27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0decf040c79a6fd347613aeeddb5ab366b2ff53"/>
    <w:p>
      <w:pPr>
        <w:pStyle w:val="Ttulo3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example-id"/>
    <w:p>
      <w:pPr>
        <w:pStyle w:val="CaptionedFigure"/>
      </w:pPr>
      <w:bookmarkStart w:id="23" w:name="fig:example-id"/>
      <w:r>
        <w:drawing>
          <wp:inline>
            <wp:extent cx="5600700" cy="3426588"/>
            <wp:effectExtent b="0" l="0" r="0" t="0"/>
            <wp:docPr descr="Figure 1: Objetivos principal y específicos del Gobierno SOA del FNA, versión 0.5." title="" id="21" name="Picture"/>
            <a:graphic>
              <a:graphicData uri="http://schemas.openxmlformats.org/drawingml/2006/picture">
                <pic:pic>
                  <pic:nvPicPr>
                    <pic:cNvPr descr="images/GobiernoSOA.3n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4"/>
    <w:bookmarkStart w:id="26" w:name="X6e9366b944ddb4fcdc547909337efc56ee4135b"/>
    <w:p>
      <w:pPr>
        <w:pStyle w:val="Ttulo3"/>
      </w:pPr>
      <w:r>
        <w:t xml:space="preserve">Objetivos Específicos y Secundarios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</w:pPr>
      <w:r>
        <w:t xml:space="preserve">G-OBJ1. Vigilancia del riesgo tecnológico en tres vías. Primero,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numPr>
          <w:ilvl w:val="0"/>
          <w:numId w:val="1000"/>
        </w:numPr>
      </w:pPr>
      <w:r>
        <w:t xml:space="preserve">Del este objetivo cabe enfatizar el control sobre la inversión de TI, que en la práctica propuesta se vigilar la efectividad y factibilidad de los proyectos SOA de la organización en términos de los resultados de</w:t>
      </w:r>
    </w:p>
    <w:p>
      <w:pPr>
        <w:numPr>
          <w:ilvl w:val="1"/>
          <w:numId w:val="1002"/>
        </w:numPr>
        <w:pStyle w:val="Compact"/>
      </w:pPr>
      <w:r>
        <w:t xml:space="preserve">el análisis de factibilidad SOA</w:t>
      </w:r>
    </w:p>
    <w:p>
      <w:pPr>
        <w:numPr>
          <w:ilvl w:val="1"/>
          <w:numId w:val="1002"/>
        </w:numPr>
        <w:pStyle w:val="Compact"/>
      </w:pPr>
      <w:r>
        <w:t xml:space="preserve">la efectividad esperada de la inversión (cálculo del costo / beneficio)</w:t>
      </w:r>
    </w:p>
    <w:p>
      <w:pPr>
        <w:numPr>
          <w:ilvl w:val="0"/>
          <w:numId w:val="1000"/>
        </w:numPr>
      </w:pPr>
      <w:r>
        <w:t xml:space="preserve">Ambos análisis que deben quedar relacionados en el repositorio de la oficina de arquitectura del FNA, objeto de este proyecto.</w:t>
      </w:r>
    </w:p>
    <w:p>
      <w:pPr>
        <w:numPr>
          <w:ilvl w:val="0"/>
          <w:numId w:val="1001"/>
        </w:numPr>
      </w:pPr>
      <w:r>
        <w:t xml:space="preserve">G-OBJ2. Vigilar el crecimiento de la complejidad y el impacto de los nuevos cambios en la arquitectura de referencia SOA del Fondo, bien sea por medio de las revisiones de diseño, el comité de arquitectura, o por el desarrollo y distribución de un catálogo de soluciones preconstruídas que alivie y guíe a las fábricas y desarrolladores que trabajan para la empresa.</w:t>
      </w:r>
    </w:p>
    <w:p>
      <w:pPr>
        <w:numPr>
          <w:ilvl w:val="0"/>
          <w:numId w:val="1001"/>
        </w:numPr>
      </w:pPr>
      <w:r>
        <w:t xml:space="preserve">G-OBJ3. Vigilar y perseguir el aumento de los índices de adopción, adaptación y efectividad SOA presentes en los análisis de madurez como el realizado en la Fase 1 del diagnóstico presente (ver</w:t>
      </w:r>
      <w:r>
        <w:t xml:space="preserve"> </w:t>
      </w:r>
      <w:hyperlink r:id="rId25">
        <w:r>
          <w:rPr>
            <w:rStyle w:val="Hipervnculo"/>
          </w:rPr>
          <w:t xml:space="preserve">02.Fase 2 PR2 Estudio Madurez SOA FNA</w:t>
        </w:r>
      </w:hyperlink>
      <w:r>
        <w:t xml:space="preserve">). Poner el marcha el proceso de gobierno SOA del FNA descrito más adelante en este ejercicio (181-2020). Adaptar y monitorear los índices de rendimiento (KPI) del proceso.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</w:t>
      </w:r>
      <w:r>
        <w:t xml:space="preserve"> </w:t>
      </w:r>
      <w:hyperlink w:anchor="fig:example-id">
        <w:r>
          <w:rPr>
            <w:rStyle w:val="Hipervnculo"/>
          </w:rPr>
          <w:t xml:space="preserve">1</w:t>
        </w:r>
      </w:hyperlink>
      <w:r>
        <w:t xml:space="preserve">.</w:t>
      </w:r>
    </w:p>
    <w:bookmarkEnd w:id="26"/>
    <w:bookmarkStart w:id="36" w:name="otros-objetivos-del-gobierno-soa"/>
    <w:p>
      <w:pPr>
        <w:pStyle w:val="Ttulo3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3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3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3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b2d0bbfe-6bdd-49ec-a6c2-6a5e223925a0"/>
    <w:p>
      <w:pPr>
        <w:pStyle w:val="CaptionedFigure"/>
      </w:pPr>
      <w:bookmarkStart w:id="30" w:name="fig:"/>
      <w:r>
        <w:drawing>
          <wp:inline>
            <wp:extent cx="5600700" cy="4177941"/>
            <wp:effectExtent b="0" l="0" r="0" t="0"/>
            <wp:docPr descr="Figure 2: Objetivos secundarios del gobierno SOA del FNA" title="" id="28" name="Picture"/>
            <a:graphic>
              <a:graphicData uri="http://schemas.openxmlformats.org/drawingml/2006/picture">
                <pic:pic>
                  <pic:nvPicPr>
                    <pic:cNvPr descr="images/gobiernobjetivo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7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Start w:id="33" w:name="Xa26f50d9d2dc49753c1803d09efa61b9a7ca4e1"/>
    <w:p>
      <w:pPr>
        <w:pStyle w:val="Ttulo4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31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bookmarkStart w:id="32" w:name="niveles-de-riesgo-técnico-para-del-fna"/>
    <w:p>
      <w:pPr>
        <w:pStyle w:val="Ttulo5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p>
      <w:pPr>
        <w:pStyle w:val="Textoindependiente"/>
      </w:pPr>
      <w:r>
        <w:t xml:space="preserve">Hacer seguimiento a inversión tecnológica, provedores y colaboración con externos; evaluar y constatar la implementación de soluciones FNA, la cual podría limitarse a servicios SOA; controlar la adopción de nuevos diseños, nuevos marcos de trabajo, librerías o componentes de terceros.</w:t>
      </w:r>
    </w:p>
    <w:bookmarkEnd w:id="32"/>
    <w:bookmarkEnd w:id="33"/>
    <w:bookmarkStart w:id="34" w:name="X02aa4bbda48fdd5ed710b91b8bfc8b6cb34e0c9"/>
    <w:p>
      <w:pPr>
        <w:pStyle w:val="Ttulo4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Bien sea por medio de las revisiones de diseño, el comité de arquitectura, o por el desarrollo y distribución de un catálogo de soluciones preconstruídas que alivie y guíe a las fábricas y desarrolladores que trabajan para la empresa.</w:t>
      </w:r>
    </w:p>
    <w:bookmarkEnd w:id="34"/>
    <w:bookmarkStart w:id="35" w:name="X85a3aa6e5079aa748cd286fc188147c88a6c079"/>
    <w:p>
      <w:pPr>
        <w:pStyle w:val="Ttulo4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Los índices de efectividad SOA presentes en los análisis de madurez como el realizado en la Fase 1 del diagnóstico presente.</w:t>
      </w:r>
    </w:p>
    <w:p>
      <w:pPr>
        <w:pStyle w:val="Textoindependiente"/>
      </w:pPr>
    </w:p>
    <w:bookmarkEnd w:id="35"/>
    <w:bookmarkEnd w:id="3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image" Id="rId27" Target="media/rId27.png" /><Relationship Type="http://schemas.openxmlformats.org/officeDocument/2006/relationships/hyperlink" Id="rId25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2023-06-18T04:07:31Z</dcterms:created>
  <dcterms:modified xsi:type="dcterms:W3CDTF">2023-06-18T04:07:31Z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