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282ab52329bc258ea6e6b7c6fb425c5efc1682d"/>
    <w:p>
      <w:pPr>
        <w:pStyle w:val="Ttulo3"/>
      </w:pPr>
      <w:r>
        <w:t xml:space="preserve">Objetivos Principales del Gobierno SOA del FNA</w:t>
      </w:r>
    </w:p>
    <w:p>
      <w:pPr>
        <w:pStyle w:val="FirstParagraph"/>
      </w:pPr>
      <w:r>
        <w:t xml:space="preserve">Una vez identificadas estas problemáticas de orden mayor existentes en la empresa y que podemos resumir en tres: riesgo tecnológico, complejidad y nivel de adopción SOA presente en los desarrollos e implementaciones del FNA, el gobierno SOA propuesto para el Fondo tiene un objetivo general que es el siguiente.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p>
      <w:pPr>
        <w:pStyle w:val="FirstParagraph"/>
      </w:pPr>
    </w:p>
    <w:p>
      <w:pPr>
        <w:pStyle w:val="Textoindependiente"/>
      </w:pPr>
      <w:r>
        <w:t xml:space="preserve">Como objetivos específicos principales debe incluir, como mínimo, los siguientes:</w:t>
      </w:r>
    </w:p>
    <w:p>
      <w:pPr>
        <w:pStyle w:val="Textoindependiente"/>
      </w:pPr>
      <w:r>
        <w:drawing>
          <wp:inline>
            <wp:extent cx="5600700" cy="326707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GobiernoSOA.3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Objetivos principales del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G-OBJ1. Vigilancia del riesgo tecnológico en tres vías. Primero, hacer seguimiento a la inversión tecnológica, el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numPr>
          <w:ilvl w:val="0"/>
          <w:numId w:val="1000"/>
        </w:numPr>
      </w:pPr>
      <w:r>
        <w:t xml:space="preserve">Del objetivo anterior (Vigilancia del riesgo tecnológico) se desprende este para enfatizar el control sobre la inversión de TI: vigilar la efectividad y factibilidad de los proyectos SOA de la organización en términos del área de efectividad del costo y factibilidad SOA. Ambos conceptos explicados en</w:t>
      </w:r>
      <w:r>
        <w:t xml:space="preserve"> </w:t>
      </w:r>
      <w:hyperlink r:id="rId24">
        <w:r>
          <w:rPr>
            <w:rStyle w:val="Hipervnculo"/>
          </w:rPr>
          <w:t xml:space="preserve">Supervisión de efectividad y factibilidad SOA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G-OBJ2. Vigilar el crecimiento de la complejidad y el impacto de los nuevos cambios en la arquitectura de referencia SOA del Fondo, bien sea por medio de las revisiones de diseño, el comité de arquitectura, o por el desarrollo y distribución de un catálogo de soluciones preconstruídas que alivie y guíe a las fábricas y desarrolladores que trabajan para la empresa.</w:t>
      </w:r>
    </w:p>
    <w:p>
      <w:pPr>
        <w:numPr>
          <w:ilvl w:val="0"/>
          <w:numId w:val="1001"/>
        </w:numPr>
      </w:pPr>
      <w:r>
        <w:t xml:space="preserve">G-OBJ3. Vigilar y perseguir el aumento de los índices de adopción, adaptación y efectividad SOA presentes en los análisis de madurez como el realizado en la Fase 1 del diagnóstico presente (ver</w:t>
      </w:r>
      <w:r>
        <w:t xml:space="preserve"> </w:t>
      </w:r>
      <w:hyperlink r:id="rId24">
        <w:r>
          <w:rPr>
            <w:rStyle w:val="Hipervnculo"/>
          </w:rPr>
          <w:t xml:space="preserve">02.Fase 2 PR2 Estudio Madurez SOA FNA</w:t>
        </w:r>
      </w:hyperlink>
      <w:r>
        <w:t xml:space="preserve">). Poner el marcha el proceso de gobierno SOA del FNA descrito más adelante en este ejercicio (181-2020). Adaptar y monitorear los índices de rendimiento (KPI) del proceso.</w:t>
      </w:r>
    </w:p>
    <w:p>
      <w:pPr>
        <w:pStyle w:val="FirstParagraph"/>
      </w:pPr>
    </w:p>
    <w:bookmarkEnd w:id="25"/>
    <w:bookmarkStart w:id="35" w:name="otros-objetivos-del-gobierno-soa"/>
    <w:p>
      <w:pPr>
        <w:pStyle w:val="Ttulo3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del gobierno SOA recomendados por este diagnóstico al Fondo, la lista siguiente expone objetivos que pueden ser conseguidos de forma indirecta, o con la mediación de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(en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1fc3a338-4cfa-4bf4-a91c-1ca02a2d3275"/>
    <w:p>
      <w:pPr>
        <w:pStyle w:val="CaptionedFigure"/>
      </w:pPr>
      <w:bookmarkStart w:id="29" w:name="fig:"/>
      <w:r>
        <w:drawing>
          <wp:inline>
            <wp:extent cx="5600700" cy="4177941"/>
            <wp:effectExtent b="0" l="0" r="0" t="0"/>
            <wp:docPr descr="Figure 1: Objetivos secundarios del gobierno SOA del FNA" title="" id="27" name="Picture"/>
            <a:graphic>
              <a:graphicData uri="http://schemas.openxmlformats.org/drawingml/2006/picture">
                <pic:pic>
                  <pic:nvPicPr>
                    <pic:cNvPr descr="images/gobiernobjetivos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1: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Start w:id="32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30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bookmarkStart w:id="31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p>
      <w:pPr>
        <w:pStyle w:val="Textoindependiente"/>
      </w:pPr>
      <w:r>
        <w:t xml:space="preserve">Hacer seguimiento a inversión tecnológica, provedores y colaboración con externos; evaluar y constatar la implementación de soluciones FNA, la cual podría limitarse a servicios SOA; controlar la adopción de nuevos diseños, nuevos marcos de trabajo, librerías o componentes de terceros.</w:t>
      </w:r>
    </w:p>
    <w:bookmarkEnd w:id="31"/>
    <w:bookmarkEnd w:id="32"/>
    <w:bookmarkStart w:id="33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Bien sea por medio de las revisiones de diseño, el comité de arquitectura, o por el desarrollo y distribución de un catálogo de soluciones preconstruídas que alivie y guíe a las fábricas y desarrolladores que trabajan para la empresa.</w:t>
      </w:r>
    </w:p>
    <w:bookmarkEnd w:id="33"/>
    <w:bookmarkStart w:id="34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Los índices de efectividad SOA presentes en los análisis de madurez como el realizado en la Fase 1 del diagnóstico presente.</w:t>
      </w:r>
    </w:p>
    <w:p>
      <w:pPr>
        <w:pStyle w:val="Textoindependiente"/>
      </w:pPr>
    </w:p>
    <w:bookmarkEnd w:id="34"/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hyperlink" Id="rId23" Target="" TargetMode="External" /><Relationship Type="http://schemas.openxmlformats.org/officeDocument/2006/relationships/hyperlink" Id="rId24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4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2023-06-15T12:58:09Z</dcterms:created>
  <dcterms:modified xsi:type="dcterms:W3CDTF">2023-06-15T12:58:09Z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