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FirstParagraph"/>
      </w:pPr>
      <w:bookmarkStart w:id="20" w:name="fig:example-id"/>
      <w:r>
        <w:t xml:space="preserve">Figure 1: Objetivos principal y específicos del Gobierno SOA del FNA, versión 0.5.</w:t>
      </w:r>
      <w:bookmarkEnd w:id="20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1"/>
    <w:bookmarkStart w:id="23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2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3"/>
    <w:bookmarkStart w:id="33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eb7261f4-2617-4d2d-b728-6eda83a13d77"/>
    <w:p>
      <w:pPr>
        <w:pStyle w:val="CaptionedFigure"/>
      </w:pPr>
      <w:bookmarkStart w:id="27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5" name="Picture"/>
            <a:graphic>
              <a:graphicData uri="http://schemas.openxmlformats.org/drawingml/2006/picture">
                <pic:pic>
                  <pic:nvPicPr>
                    <pic:cNvPr descr="images/gobiernobjetivo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0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8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9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29"/>
    <w:bookmarkEnd w:id="30"/>
    <w:bookmarkStart w:id="31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1"/>
    <w:bookmarkStart w:id="32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2023-06-15T18:23:47Z</dcterms:created>
  <dcterms:modified xsi:type="dcterms:W3CDTF">2023-06-15T18:23:47Z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