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Capacidades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1.45bac3b</w:t>
            </w:r>
            <w:r>
              <w:t xml:space="preserve"> </w:t>
            </w:r>
            <w:r>
              <w:t xml:space="preserve">del 20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7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del equipo de gobierno SOA, desarrolama más adelante en este producto, están relacionados directamente con los objeitvos del gobierno SOA y con los riesgos tecnológicos encontrados en la Fase 1 de E-Service (ver</w:t>
      </w:r>
      <w:r>
        <w:t xml:space="preserve"> </w:t>
      </w:r>
      <w:hyperlink r:id="rId22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2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si bien algunas capacidades se realizan mediante la oficina de arquitectura, no es del alcance de esta consultoría, E-Service, Fase II (contrato 181-2020), desarrollarlas todas. Es del alcance enunciarlas como requeridas y considerarlas en esta versión de gobierno SOA, v0.5, objeto de este proyecto. Desarrollar la completitud de estas capacidades de negocio requeriría, similar a cualquier otra capacidad del FNA, la ejecución de otro(s) proyecto de índole de capital humano.</w:t>
      </w:r>
    </w:p>
    <w:bookmarkStart w:id="0" w:name="fig:b1e44f79-d704-493b-8f45-9ff25352525b"/>
    <w:p>
      <w:pPr>
        <w:pStyle w:val="CaptionedFigure"/>
      </w:pPr>
      <w:bookmarkStart w:id="26" w:name="fig:"/>
      <w:r>
        <w:drawing>
          <wp:inline>
            <wp:extent cx="5600700" cy="4853940"/>
            <wp:effectExtent b="0" l="0" r="0" t="0"/>
            <wp:docPr descr="Figure 1: TOGAF 9, Fase G, Implementation governance para la implementación de las capacidades de ejecución de hojas de ruta del FNA." title="" id="24" name="Picture"/>
            <a:graphic>
              <a:graphicData uri="http://schemas.openxmlformats.org/drawingml/2006/picture">
                <pic:pic>
                  <pic:nvPicPr>
                    <pic:cNvPr descr="images/capacidade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TOGAF 9, Fase G, Implementation governance para la implementación de las capacidades de ejecución de hojas de ruta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numPr>
          <w:ilvl w:val="0"/>
          <w:numId w:val="1001"/>
        </w:numPr>
      </w:pPr>
      <w:r>
        <w:t xml:space="preserve">CAP01. Realizar e implementar estrategias y entregables para planear y analizar la arquitectura de referencia SOA del Fondo (resultado Fase 2 de este diagnóstico).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 Esta capacidad se realiza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FNA.</w:t>
      </w:r>
    </w:p>
    <w:p>
      <w:pPr>
        <w:numPr>
          <w:ilvl w:val="0"/>
          <w:numId w:val="1001"/>
        </w:numPr>
      </w:pPr>
      <w:r>
        <w:t xml:space="preserve">CAP03. Realizar y gestionar la puesta en marcha de hojas de ruta para cerrar brechas y alcanzar estados futuros de la arquitectura (TOGAF 9, Fase G, Implementation governance).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CAP04. Ejercitar la trazabilidad de los activos y productos de TI con los productos y decisiones de negocio de las áreas del FNA, como la vicepresidencia de Crédito y la de Operaciones ante la llegada de impactos, cambios, reformas y bajas tecnológicas. Esta capacidad se realiza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CAP05. Realizar análisis de impacto, riesgos, costo beneficio, capacidad usada, y gestión de demanda ante la evaluación de cambios a la arquitectura de referencia SOA y activos de TI, cuando lo amerite. Esta capacidad se realiza, en parte, mediante el flujo</w:t>
      </w:r>
      <w:r>
        <w:t xml:space="preserve"> </w:t>
      </w:r>
      <w:r>
        <w:rPr>
          <w:iCs/>
          <w:i/>
        </w:rPr>
        <w:t xml:space="preserve">Colaboración Modelado con Proveedores</w:t>
      </w:r>
      <w:r>
        <w:t xml:space="preserve"> </w:t>
      </w:r>
      <w:r>
        <w:t xml:space="preserve">(FLUJ02) de trabajo de la oficina de arquitectura del FNA, y con la colaboración de los arquitectos de fábricas y proveedores.</w:t>
      </w:r>
    </w:p>
    <w:p>
      <w:pPr>
        <w:numPr>
          <w:ilvl w:val="0"/>
          <w:numId w:val="1001"/>
        </w:numPr>
      </w:pPr>
      <w:r>
        <w:t xml:space="preserve">CAP06. Emitir y gestionar los contenidos de documentación técnica, como principios, restricciones tecnológicas, marcos de trabajo, normas, diseños, y estándares para el uso de los proveedores, servicios de fábricas del FNA, planta interna, Comunicación y Planeación. Esta capacidad se realiza, en parte, con la puesta en marcha de la oficina de arquitectura del FNA.</w:t>
      </w:r>
    </w:p>
    <w:p>
      <w:pPr>
        <w:numPr>
          <w:ilvl w:val="0"/>
          <w:numId w:val="1001"/>
        </w:numPr>
      </w:pPr>
      <w:r>
        <w:t xml:space="preserve">CAP07.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Fondo). Esta capacidad se realiza, en parte, con la puesta en marcha de la oficina de arquitectura del FNA.</w:t>
      </w:r>
    </w:p>
    <w:p>
      <w:pPr>
        <w:pStyle w:val="FirstParagraph"/>
      </w:pP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2023-06-20T02:30:23Z</dcterms:created>
  <dcterms:modified xsi:type="dcterms:W3CDTF">2023-06-20T02:30:23Z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