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Capacidades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1.307f271</w:t>
            </w:r>
            <w:r>
              <w:t xml:space="preserve"> </w:t>
            </w:r>
            <w:r>
              <w:t xml:space="preserve">del 31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7" w:name="Xfb1d2aabaf6622218d5fc7b7ff0cb40a80934a6"/>
    <w:p>
      <w:pPr>
        <w:pStyle w:val="Ttulo2"/>
      </w:pPr>
      <w:r>
        <w:t xml:space="preserve">Capacidades FNA por Desarrollar para el Gobierno SOA</w:t>
      </w:r>
    </w:p>
    <w:p>
      <w:pPr>
        <w:pStyle w:val="FirstParagraph"/>
      </w:pPr>
      <w:r>
        <w:t xml:space="preserve">Las capacidades requeridas por el gobierno SOA del Fondo, que a la vez soportan a la matriz de roles y responsabilidades (RACI) del equipo de gobierno SOA, desarrollada más adelante en este producto, están relacionados directamente con los objetivos del gobierno SOA y con los riesgos tecnológicos encontrados en la Fase 1 de E-Service (ver</w:t>
      </w:r>
      <w:r>
        <w:t xml:space="preserve"> </w:t>
      </w:r>
      <w:hyperlink r:id="rId22">
        <w:r>
          <w:rPr>
            <w:rStyle w:val="Hipervnculo"/>
          </w:rPr>
          <w:t xml:space="preserve">06a.Objetivos gobierno</w:t>
        </w:r>
      </w:hyperlink>
      <w:r>
        <w:t xml:space="preserve">, y</w:t>
      </w:r>
      <w:r>
        <w:t xml:space="preserve"> </w:t>
      </w:r>
      <w:hyperlink r:id="rId22">
        <w:r>
          <w:rPr>
            <w:rStyle w:val="Hipervnculo"/>
          </w:rPr>
          <w:t xml:space="preserve">06c.Riesgos tecnológicos SOA</w:t>
        </w:r>
      </w:hyperlink>
      <w:r>
        <w:t xml:space="preserve">).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: si bien algunas capacidades se realizan mediante la oficina de arquitectura, no es del alcance de esta consultoría, E-Service, Fase II (contrato 181-2020), desarrollarlas todas. Es del alcance enunciarlas como requeridas y considerarlas en esta versión de gobierno SOA, v0.5, objeto de este proyecto. Desarrollar la completitud de estas capacidades de negocio requeriría, similar a cualquier otra capacidad del FNA, la ejecución de otro(s) proyecto de índole de capital humano.</w:t>
      </w:r>
    </w:p>
    <w:bookmarkStart w:id="0" w:name="fig:424723bc-7a78-4aaf-9e20-1764e9400632"/>
    <w:p>
      <w:pPr>
        <w:pStyle w:val="CaptionedFigure"/>
      </w:pPr>
      <w:bookmarkStart w:id="26" w:name="fig:"/>
      <w:r>
        <w:drawing>
          <wp:inline>
            <wp:extent cx="5600700" cy="4853940"/>
            <wp:effectExtent b="0" l="0" r="0" t="0"/>
            <wp:docPr descr="Figure 1: TOGAF 9, Fase G, Implementation governance para la implementación de las capacidades de ejecución de hojas de ruta del FNA." title="" id="24" name="Picture"/>
            <a:graphic>
              <a:graphicData uri="http://schemas.openxmlformats.org/drawingml/2006/picture">
                <pic:pic>
                  <pic:nvPicPr>
                    <pic:cNvPr descr="images/capacidades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853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TOGAF 9, Fase G, Implementation governance para la implementación de las capacidades de ejecución de hojas de ruta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numPr>
          <w:ilvl w:val="0"/>
          <w:numId w:val="1001"/>
        </w:numPr>
      </w:pPr>
      <w:r>
        <w:t xml:space="preserve">CAP01. Realizar e implementar estrategias y entregables para planear y analizar la arquitectura de referencia SOA del Fondo (resultado Fase 2 de este diagnóstico). Esta capacidad se realiza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FNA.</w:t>
      </w:r>
    </w:p>
    <w:p>
      <w:pPr>
        <w:numPr>
          <w:ilvl w:val="0"/>
          <w:numId w:val="1001"/>
        </w:numPr>
      </w:pPr>
      <w:r>
        <w:t xml:space="preserve">CAP02. Relacionar elementos de la arquitectura de referencia SOA (181-2020), esto es, procesos de negocio, servicios, datos, aplicaciones, componentes, tecnologías, etc., y vincular distintas perspectivas a una vertical de negocio del Fondo, como, Gestión Comercial, Cesantías, Ahorro Voluntario para desarrollar modelos consistentes y desarrollar la oportunidad de dirigir cambios y atacar los problemas de integralidad de las pruebas. Esta capacidad se realiza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FNA.</w:t>
      </w:r>
    </w:p>
    <w:p>
      <w:pPr>
        <w:numPr>
          <w:ilvl w:val="0"/>
          <w:numId w:val="1001"/>
        </w:numPr>
      </w:pPr>
      <w:r>
        <w:t xml:space="preserve">CAP03. Realizar y gestionar la puesta en marcha de hojas de ruta para cerrar brechas y alcanzar estados futuros de la arquitectura (TOGAF 9, Fase G, Implementation governance). Esta capacidad se realiza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CAP04. Ejercitar la trazabilidad de los activos y productos de TI con los productos y decisiones de negocio de las áreas del FNA, como la vicepresidencia de Crédito y la de Operaciones ante la llegada de impactos, cambios, reformas y bajas tecnológicas. Esta capacidad se realiza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CAP05. Realizar análisis de impacto, riesgos, costo beneficio, capacidad usada, y gestión de demanda ante la evaluación de cambios a la arquitectura de referencia SOA y activos de TI, cuando lo amerite. Esta capacidad se realiza, en parte,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FNA, y con la colaboración de los arquitectos de fábricas y proveedores.</w:t>
      </w:r>
    </w:p>
    <w:p>
      <w:pPr>
        <w:numPr>
          <w:ilvl w:val="0"/>
          <w:numId w:val="1001"/>
        </w:numPr>
      </w:pPr>
      <w:r>
        <w:t xml:space="preserve">CAP06. Emitir y gestionar los contenidos de documentación técnica, como principios, restricciones tecnológicas, marcos de trabajo, normas, diseños, y estándares para el uso de los proveedores, servicios de fábricas del FNA, planta interna, Comunicación y Planeación. Esta capacidad se realiza, en parte,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CAP07. Emitir y actualizar el marco de trabajo de gobierno SOA que complemente el de TI del Fondo y que enuncie los procesos, procedimientos y responsabilidades de este con el fin de generar la autoridad y asistir en la toma de decisiones internas (áreas de TI y Planeación del Fondo) y externas (proveedores del Fondo). Esta capacidad se realiza, en parte, con la puesta en marcha de la oficina de arquitectura del FNA.</w:t>
      </w:r>
    </w:p>
    <w:p>
      <w:pPr>
        <w:pStyle w:val="FirstParagraph"/>
      </w:pPr>
    </w:p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2023-08-31T14:45:50Z</dcterms:created>
  <dcterms:modified xsi:type="dcterms:W3CDTF">2023-08-31T14:45:50Z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