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gif" ContentType="image/gif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R01.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R02.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R03.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R04.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R05.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R06.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R07. Riesgo de falta de trazabilidad para la evolución e implementación de los servicios SOA</w:t>
      </w:r>
    </w:p>
    <w:bookmarkEnd w:id="21"/>
    <w:bookmarkStart w:id="26" w:name="X21a96da3f920813145eb584b698cab5decf3531"/>
    <w:p>
      <w:pPr>
        <w:pStyle w:val="Ttulo2"/>
      </w:pPr>
      <w:r>
        <w:t xml:space="preserve">Anexo 3. Proceso de Arquitectura Empresarial</w:t>
      </w:r>
    </w:p>
    <w:bookmarkStart w:id="0" w:name="fig:01f63c7b-4936-473a-9209-7af53e03434b"/>
    <w:p>
      <w:pPr>
        <w:pStyle w:val="CaptionedFigure"/>
      </w:pPr>
      <w:bookmarkStart w:id="25" w:name="fig:"/>
      <w:r>
        <w:drawing>
          <wp:inline>
            <wp:extent cx="4406900" cy="5791200"/>
            <wp:effectExtent b="0" l="0" r="0" t="0"/>
            <wp:docPr descr="Figure 1: TOGAF 9, Fase G, Implementation governance para la implementación de las capacidades de ejecución de hojas de ruta del FNA." title="" id="23" name="Picture"/>
            <a:graphic>
              <a:graphicData uri="http://schemas.openxmlformats.org/drawingml/2006/picture">
                <pic:pic>
                  <pic:nvPicPr>
                    <pic:cNvPr descr="images/adm.gif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gif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2023-06-20T02:30:24Z</dcterms:created>
  <dcterms:modified xsi:type="dcterms:W3CDTF">2023-06-20T02:30:24Z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