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1.359489e</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3"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Conocimiento y compromiso: todas los involucrados deben contar con el conocimiento y experiencia (perfil de estudios) requeridos para el rol de arquitecto FNA, junto con el compromiso de conocer el gobierno y adherirse a los procedimientos, procesos y estructuras de autoridad acordados.</w:t>
      </w:r>
    </w:p>
    <w:p>
      <w:pPr>
        <w:numPr>
          <w:ilvl w:val="0"/>
          <w:numId w:val="1001"/>
        </w:numPr>
      </w:pPr>
      <w:r>
        <w:t xml:space="preserve">Transparencia: Todas las acciones implementadas y sus soportes de decisión estarán disponibles para inspección por una organización autorizada y partes proveedoras.</w:t>
      </w:r>
    </w:p>
    <w:p>
      <w:pPr>
        <w:numPr>
          <w:ilvl w:val="0"/>
          <w:numId w:val="1001"/>
        </w:numPr>
      </w:pPr>
      <w:r>
        <w:t xml:space="preserve">Independencia: Establecer todos los procesos, toma de decisiones y mecanismos utilizados para minimizar o evitar posibles conflictos de interés.</w:t>
      </w:r>
    </w:p>
    <w:p>
      <w:pPr>
        <w:numPr>
          <w:ilvl w:val="0"/>
          <w:numId w:val="1001"/>
        </w:numPr>
      </w:pPr>
      <w:r>
        <w:t xml:space="preserve">Rendición de cuentas: Los grupos identificables dentro de la organización, por ejemplo, juntas de gobierno que toman acciones o toman decisiones, están autorizados y son responsables de sus acciones.</w:t>
      </w:r>
    </w:p>
    <w:p>
      <w:pPr>
        <w:numPr>
          <w:ilvl w:val="0"/>
          <w:numId w:val="1001"/>
        </w:numPr>
      </w:pPr>
      <w:r>
        <w:t xml:space="preserve">Responsabilidad: Cada parte contratada está obligada a actuar de manera responsable con la organización y sus partes interesadas.</w:t>
      </w:r>
    </w:p>
    <w:p>
      <w:pPr>
        <w:numPr>
          <w:ilvl w:val="0"/>
          <w:numId w:val="1001"/>
        </w:numPr>
      </w:pPr>
      <w:r>
        <w:t xml:space="preserve">Equidad: No se permite que todas las decisiones tomadas, los procesos utilizados y su implementación generen ventajas injustas para ninguna de las partes en particular.</w:t>
      </w:r>
    </w:p>
    <w:p>
      <w:pPr>
        <w:numPr>
          <w:ilvl w:val="0"/>
          <w:numId w:val="1001"/>
        </w:numPr>
      </w:pPr>
      <w:r>
        <w:t xml:space="preserve">El gobierno de EA sobre los procesos de entrega de soluciones de TI de una organización se centra en la realización de una serie de soluciones. Éstas incluyen:</w:t>
      </w:r>
    </w:p>
    <w:p>
      <w:pPr>
        <w:pStyle w:val="FirstParagraph"/>
      </w:pPr>
      <w:r>
        <w:t xml:space="preserve">Estandarización: desarrollo y promoción de estándares de TI en toda la empresa.</w:t>
      </w:r>
      <w:r>
        <w:t xml:space="preserve"> </w:t>
      </w:r>
      <w:r>
        <w:t xml:space="preserve">Coherencia: habilite los niveles necesarios de integración e interoperabilidad de la información, los procesos y las aplicaciones.</w:t>
      </w:r>
      <w:r>
        <w:t xml:space="preserve"> </w:t>
      </w:r>
      <w:r>
        <w:t xml:space="preserve">Reutilización: estrategias y capacidades habilitadoras que reutilizan y aprovechan los activos de TI en los niveles de diseño, implementación y cartera. Esto podría incluir consideraciones tanto de proceso/gobernanza como de depósito de activos.</w:t>
      </w:r>
      <w:r>
        <w:t xml:space="preserve"> </w:t>
      </w:r>
      <w:r>
        <w:t xml:space="preserve">Calidad: Brindar soluciones que cumplan con los requisitos funcionales y técnicos de una empresa, con un proceso de gestión del ciclo de vida que garantice la calidad de la solución.</w:t>
      </w:r>
      <w:r>
        <w:t xml:space="preserve"> </w:t>
      </w:r>
      <w:r>
        <w:t xml:space="preserve">Rentabilidad y eficiencia: aprovechamiento de los estándares, la reutilización y la calidad a través de procesos de gobierno de decisiones repetibles que permiten niveles reducidos del costo total del ciclo de vida de las soluciones y permiten una mejor realización de las inversiones en TI.</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2023-06-21T17:23:27Z</dcterms:created>
  <dcterms:modified xsi:type="dcterms:W3CDTF">2023-06-21T17:23:27Z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