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1.13402c6</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ejecutivo del gobierno SOA, y por tanto, debe contar con recursos materiales (presupuesto), físicos, procedimentales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(en adelante, LOAF) es aquella que recibe, y puede objetar, los requerimientos de arquitectura que en su momento convierte en una Declaración de Trabajo de Arquitectura (DTA) mediante métodos estándares seleccionados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involucrados con la oficina inician los análisis requeridos por el gobierno (ver</w:t>
      </w:r>
      <w:r>
        <w:t xml:space="preserve"> </w:t>
      </w:r>
      <w:hyperlink r:id="rId22">
        <w:r>
          <w:rPr>
            <w:rStyle w:val="Hipervnculo"/>
          </w:rPr>
          <w:t xml:space="preserve">Análisis Mínimos Exigidos por Gobierno SOA FNA</w:t>
        </w:r>
      </w:hyperlink>
      <w:r>
        <w:t xml:space="preserve">). El gobierno del FNA exige además la actualización de los modelos, que, en caso de no existir, estos deben ser levantados previo a los análisis.</w:t>
      </w:r>
    </w:p>
    <w:bookmarkEnd w:id="23"/>
    <w:bookmarkStart w:id="25"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cumplir con la realización de las siguientes políticas.</w:t>
      </w:r>
    </w:p>
    <w:bookmarkStart w:id="24"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 que esta elabore o intervenga.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2023-07-24T13:27:47Z</dcterms:created>
  <dcterms:modified xsi:type="dcterms:W3CDTF">2023-07-24T13:27:47Z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