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1.4ed3de6</w:t>
            </w:r>
            <w:r>
              <w:t xml:space="preserve"> </w:t>
            </w:r>
            <w:r>
              <w:t xml:space="preserve">del 29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p>
      <w:pPr>
        <w:pStyle w:val="Textoindependiente"/>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áticas-de-colaboración"/>
    <w:p>
      <w:pPr>
        <w:pStyle w:val="Ttulo2"/>
      </w:pPr>
      <w:r>
        <w:t xml:space="preserve">Problemáticas de Colaboración</w:t>
      </w:r>
    </w:p>
    <w:p>
      <w:pPr>
        <w:pStyle w:val="FirstParagraph"/>
      </w:pPr>
      <w:r>
        <w:t xml:space="preserve">Existen tres problemáticas exclusivas de la creación de modelos, en general, pero que son más cuestionables para los profesionales de arquitectura de de todos los dominios, software, datos, etc. Estas se presnetan en la forma cómo colaboran al momento de documentar, aumentar detalle, o gestionar las versiones de los modelos.</w:t>
      </w:r>
    </w:p>
    <w:p>
      <w:pPr>
        <w:pStyle w:val="Textoindependiente"/>
      </w:pPr>
      <w:r>
        <w:t xml:space="preserve">Son señales de problemas de colaboarción en el modelamiento de arquitectura</w:t>
      </w:r>
    </w:p>
    <w:p>
      <w:pPr>
        <w:numPr>
          <w:ilvl w:val="0"/>
          <w:numId w:val="1002"/>
        </w:numPr>
        <w:pStyle w:val="Compact"/>
      </w:pPr>
      <w:r>
        <w:rPr>
          <w:bCs/>
          <w:b/>
        </w:rPr>
        <w:t xml:space="preserve">Fragmentación</w:t>
      </w:r>
      <w:r>
        <w:t xml:space="preserve">. Equipos de arquitectura sepadaros en distintas empresas, grupos o divisiones físicas o administrativas y con poca o nada comunicación.</w:t>
      </w:r>
    </w:p>
    <w:p>
      <w:pPr>
        <w:numPr>
          <w:ilvl w:val="0"/>
          <w:numId w:val="1002"/>
        </w:numPr>
        <w:pStyle w:val="Compact"/>
      </w:pPr>
      <w:r>
        <w:rPr>
          <w:bCs/>
          <w:b/>
        </w:rPr>
        <w:t xml:space="preserve">Aislammiento</w:t>
      </w:r>
      <w:r>
        <w:t xml:space="preserve">. Áreas de arquitectura trabajando de manera solitaria crean y usan diferentes estilos, estándares, relacionamiento y niveles de detalle de modelamiento.</w:t>
      </w:r>
    </w:p>
    <w:p>
      <w:pPr>
        <w:numPr>
          <w:ilvl w:val="0"/>
          <w:numId w:val="1002"/>
        </w:numPr>
        <w:pStyle w:val="Compact"/>
      </w:pPr>
      <w:r>
        <w:rPr>
          <w:bCs/>
          <w:b/>
        </w:rPr>
        <w:t xml:space="preserve">Desapropiamiento</w:t>
      </w:r>
      <w:r>
        <w:t xml:space="preserve">. La falta de autoría de los modelos, de los niveles de detalles y de las decisiones de soporte afecta a los equipos de arquitectura, así como a externos, que no saben a quién dirigirse para entender estos activos.</w:t>
      </w:r>
    </w:p>
    <w:p>
      <w:pPr>
        <w:pStyle w:val="FirstParagraph"/>
      </w:pPr>
    </w:p>
    <w:bookmarkEnd w:id="25"/>
    <w:bookmarkStart w:id="31"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3d0551ee-6128-4634-875e-7879aafd90a1"/>
    <w:p>
      <w:pPr>
        <w:pStyle w:val="CaptionedFigure"/>
      </w:pPr>
      <w:bookmarkStart w:id="30" w:name="fig:"/>
      <w:r>
        <w:drawing>
          <wp:inline>
            <wp:extent cx="5600700" cy="4438729"/>
            <wp:effectExtent b="0" l="0" r="0" t="0"/>
            <wp:docPr descr="Imagen 1: alt 1. Actividades y relaciones de los estados de un flujo de trabajo de la oficina de arquitectura con arreglo al proceso ADM de TOGAF. Flujo para los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4438729"/>
                    </a:xfrm>
                    <a:prstGeom prst="rect">
                      <a:avLst/>
                    </a:prstGeom>
                    <a:noFill/>
                    <a:ln w="9525">
                      <a:noFill/>
                      <a:headEnd/>
                      <a:tailEnd/>
                    </a:ln>
                  </pic:spPr>
                </pic:pic>
              </a:graphicData>
            </a:graphic>
          </wp:inline>
        </w:drawing>
      </w:r>
      <w:bookmarkEnd w:id="30"/>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31"/>
    <w:bookmarkStart w:id="34" w:name="X35a939fece6a4b48981e88ef7e3ed738e6c3d00"/>
    <w:p>
      <w:pPr>
        <w:pStyle w:val="Ttulo2"/>
      </w:pPr>
      <w:r>
        <w:t xml:space="preserve">Flujo de Trabajo Oficina de Arquitectura Proveedores (FLUJ02)</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5"/>
        </w:numPr>
      </w:pPr>
      <w:r>
        <w:t xml:space="preserve">El Arq. FNA recibe el requerimientos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Start w:id="33" w:name="Xcae036cdc5bd8b59a8b7da664a5c7a74e54da5d"/>
    <w:p>
      <w:pPr>
        <w:pStyle w:val="Ttulo3"/>
      </w:pPr>
      <w:r>
        <w:t xml:space="preserve">Catálogo de Elementos del Flujo de Trabajo</w:t>
      </w:r>
    </w:p>
    <w:tbl>
      <w:tblPr>
        <w:tblStyle w:val="Table"/>
        <w:tblW w:type="pct" w:w="5000"/>
        <w:tblLook w:firstRow="1" w:lastRow="0" w:firstColumn="0" w:lastColumn="0" w:noHBand="0" w:noVBand="0" w:val="0020"/>
      </w:tblPr>
      <w:tblGrid>
        <w:gridCol w:w="1980"/>
        <w:gridCol w:w="1113"/>
        <w:gridCol w:w="4826"/>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ADM Gobierno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Implementación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Preliminar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GOB03. Modelamiento</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GOB04. Repositorio Artefactos FNA &lt;</w:t>
            </w:r>
            <w:r>
              <w:rPr>
                <w:bCs/>
                <w:b/>
              </w:rPr>
              <w:t xml:space="preserve">&gt;</w:t>
            </w:r>
          </w:p>
        </w:tc>
        <w:tc>
          <w:tcPr/>
          <w:p>
            <w:pPr>
              <w:pStyle w:val="Compact"/>
              <w:jc w:val="left"/>
            </w:pPr>
            <w:r>
              <w:t xml:space="preserve">application-interaction</w:t>
            </w:r>
          </w:p>
        </w:tc>
        <w:tc>
          <w:tcPr/>
          <w:p>
            <w:pPr>
              <w:pStyle w:val="Compact"/>
            </w:pPr>
          </w:p>
        </w:tc>
      </w:tr>
      <w:tr>
        <w:tc>
          <w:tcPr/>
          <w:p>
            <w:pPr>
              <w:pStyle w:val="Compact"/>
              <w:jc w:val="left"/>
            </w:pPr>
            <w:r>
              <w:rPr>
                <w:bCs/>
                <w:b/>
              </w:rPr>
              <w:t xml:space="preserve">Aplicaciones</w:t>
            </w:r>
          </w:p>
        </w:tc>
        <w:tc>
          <w:tcPr/>
          <w:p>
            <w:pPr>
              <w:pStyle w:val="Compact"/>
              <w:jc w:val="left"/>
            </w:pPr>
            <w:r>
              <w:t xml:space="preserve">application-process</w:t>
            </w:r>
          </w:p>
        </w:tc>
        <w:tc>
          <w:tcPr/>
          <w:p>
            <w:pPr>
              <w:pStyle w:val="Compact"/>
            </w:pPr>
          </w:p>
        </w:tc>
      </w:tr>
      <w:tr>
        <w:tc>
          <w:tcPr/>
          <w:p>
            <w:pPr>
              <w:pStyle w:val="Compact"/>
              <w:jc w:val="left"/>
            </w:pPr>
            <w:r>
              <w:rPr>
                <w:bCs/>
                <w:b/>
              </w:rPr>
              <w:t xml:space="preserve">Datos</w:t>
            </w:r>
          </w:p>
        </w:tc>
        <w:tc>
          <w:tcPr/>
          <w:p>
            <w:pPr>
              <w:pStyle w:val="Compact"/>
              <w:jc w:val="left"/>
            </w:pPr>
            <w:r>
              <w:t xml:space="preserve">application-process</w:t>
            </w:r>
          </w:p>
        </w:tc>
        <w:tc>
          <w:tcPr/>
          <w:p>
            <w:pPr>
              <w:pStyle w:val="Compact"/>
            </w:pPr>
          </w:p>
        </w:tc>
      </w:tr>
      <w:tr>
        <w:tc>
          <w:tcPr/>
          <w:p>
            <w:pPr>
              <w:pStyle w:val="Compact"/>
              <w:jc w:val="left"/>
            </w:pPr>
            <w:r>
              <w:rPr>
                <w:bCs/>
                <w:b/>
              </w:rPr>
              <w:t xml:space="preserve">Infraestructura</w:t>
            </w:r>
          </w:p>
        </w:tc>
        <w:tc>
          <w:tcPr/>
          <w:p>
            <w:pPr>
              <w:pStyle w:val="Compact"/>
              <w:jc w:val="left"/>
            </w:pPr>
            <w:r>
              <w:t xml:space="preserve">application-process</w:t>
            </w:r>
          </w:p>
        </w:tc>
        <w:tc>
          <w:tcPr/>
          <w:p>
            <w:pPr>
              <w:pStyle w:val="Compact"/>
            </w:pPr>
          </w:p>
        </w:tc>
      </w:tr>
      <w:tr>
        <w:tc>
          <w:tcPr/>
          <w:p>
            <w:pPr>
              <w:pStyle w:val="Compact"/>
              <w:jc w:val="left"/>
            </w:pPr>
            <w:r>
              <w:rPr>
                <w:bCs/>
                <w:b/>
              </w:rPr>
              <w:t xml:space="preserve">Inversion TI</w:t>
            </w:r>
          </w:p>
        </w:tc>
        <w:tc>
          <w:tcPr/>
          <w:p>
            <w:pPr>
              <w:pStyle w:val="Compact"/>
              <w:jc w:val="left"/>
            </w:pPr>
            <w:r>
              <w:t xml:space="preserve">application-process</w:t>
            </w: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pPr>
          </w:p>
        </w:tc>
      </w:tr>
      <w:tr>
        <w:tc>
          <w:tcPr/>
          <w:p>
            <w:pPr>
              <w:pStyle w:val="Compact"/>
              <w:jc w:val="left"/>
            </w:pPr>
            <w:r>
              <w:rPr>
                <w:bCs/>
                <w:b/>
              </w:rPr>
              <w:t xml:space="preserve">Análisis</w:t>
            </w:r>
          </w:p>
        </w:tc>
        <w:tc>
          <w:tcPr/>
          <w:p>
            <w:pPr>
              <w:pStyle w:val="Compact"/>
              <w:jc w:val="left"/>
            </w:pPr>
            <w:r>
              <w:t xml:space="preserve">data-object</w:t>
            </w:r>
          </w:p>
        </w:tc>
        <w:tc>
          <w:tcPr/>
          <w:p>
            <w:pPr>
              <w:pStyle w:val="Compact"/>
              <w:jc w:val="left"/>
            </w:pPr>
            <w:r>
              <w:t xml:space="preserve">Análisis de impacto, complejidad, plan de cambios, estimaciones, costo / b.</w:t>
            </w:r>
            <w:r>
              <w:t xml:space="preserve"> </w:t>
            </w:r>
          </w:p>
        </w:tc>
      </w:tr>
      <w:tr>
        <w:tc>
          <w:tcPr/>
          <w:p>
            <w:pPr>
              <w:pStyle w:val="Compact"/>
              <w:jc w:val="left"/>
            </w:pPr>
            <w:r>
              <w:rPr>
                <w:bCs/>
                <w:b/>
              </w:rPr>
              <w:t xml:space="preserve">Bloques de Solucion (N200…500)</w:t>
            </w:r>
          </w:p>
        </w:tc>
        <w:tc>
          <w:tcPr/>
          <w:p>
            <w:pPr>
              <w:pStyle w:val="Compact"/>
              <w:jc w:val="left"/>
            </w:pPr>
            <w:r>
              <w:t xml:space="preserve">data-object</w:t>
            </w:r>
          </w:p>
        </w:tc>
        <w:tc>
          <w:tcPr/>
          <w:p>
            <w:pPr>
              <w:pStyle w:val="Compact"/>
            </w:pPr>
          </w:p>
        </w:tc>
      </w:tr>
      <w:tr>
        <w:tc>
          <w:tcPr/>
          <w:p>
            <w:pPr>
              <w:pStyle w:val="Compact"/>
              <w:jc w:val="left"/>
            </w:pPr>
            <w:r>
              <w:rPr>
                <w:bCs/>
                <w:b/>
              </w:rPr>
              <w:t xml:space="preserve">Contenidos</w:t>
            </w:r>
          </w:p>
        </w:tc>
        <w:tc>
          <w:tcPr/>
          <w:p>
            <w:pPr>
              <w:pStyle w:val="Compact"/>
              <w:jc w:val="left"/>
            </w:pPr>
            <w:r>
              <w:t xml:space="preserve">data-object</w:t>
            </w:r>
          </w:p>
        </w:tc>
        <w:tc>
          <w:tcPr/>
          <w:p>
            <w:pPr>
              <w:pStyle w:val="Compact"/>
              <w:jc w:val="left"/>
            </w:pPr>
            <w:r>
              <w:t xml:space="preserve">Presentaciones, Diagramas, Textos, Matrices, Listas, Catálogos, Estimaciones.</w:t>
            </w:r>
          </w:p>
        </w:tc>
      </w:tr>
      <w:tr>
        <w:tc>
          <w:tcPr/>
          <w:p>
            <w:pPr>
              <w:pStyle w:val="Compact"/>
              <w:jc w:val="left"/>
            </w:pPr>
            <w:r>
              <w:rPr>
                <w:bCs/>
                <w:b/>
              </w:rPr>
              <w:t xml:space="preserve">Diseños (N100)</w:t>
            </w:r>
          </w:p>
        </w:tc>
        <w:tc>
          <w:tcPr/>
          <w:p>
            <w:pPr>
              <w:pStyle w:val="Compact"/>
              <w:jc w:val="left"/>
            </w:pPr>
            <w:r>
              <w:t xml:space="preserve">data-object</w:t>
            </w:r>
          </w:p>
        </w:tc>
        <w:tc>
          <w:tcPr/>
          <w:p>
            <w:pPr>
              <w:pStyle w:val="Compact"/>
              <w:jc w:val="left"/>
            </w:pPr>
            <w:r>
              <w:t xml:space="preserve">Diseños de nivel 100. Conceptuales. Necesarios para insumo de análisis de impacto, complejidad y costo / beneficio.</w:t>
            </w:r>
          </w:p>
        </w:tc>
      </w:tr>
    </w:tbl>
    <w:p>
      <w:pPr>
        <w:pStyle w:val="Textoindependiente"/>
      </w:pPr>
    </w:p>
    <w:bookmarkEnd w:id="33"/>
    <w:bookmarkEnd w:id="34"/>
    <w:bookmarkStart w:id="39"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121b85b6-a5d4-4bab-8f09-bde077456e5f"/>
    <w:p>
      <w:pPr>
        <w:pStyle w:val="CaptionedFigure"/>
      </w:pPr>
      <w:bookmarkStart w:id="38" w:name="fig:"/>
      <w:r>
        <w:drawing>
          <wp:inline>
            <wp:extent cx="5600700" cy="4304538"/>
            <wp:effectExtent b="0" l="0" r="0" t="0"/>
            <wp:docPr descr="Imagen 2: alt 2. Actividades y relaciones de los estados de un flujo de trabajo de la oficina de arquitectura con arreglo al proceso ADM de TOGAF. Flujo para la oficina de arquitectura en conjunto con proveedores del FNA." title="" id="36" name="Picture"/>
            <a:graphic>
              <a:graphicData uri="http://schemas.openxmlformats.org/drawingml/2006/picture">
                <pic:pic>
                  <pic:nvPicPr>
                    <pic:cNvPr descr="images/flujoADM-2.png" id="37" name="Picture"/>
                    <pic:cNvPicPr>
                      <a:picLocks noChangeArrowheads="1" noChangeAspect="1"/>
                    </pic:cNvPicPr>
                  </pic:nvPicPr>
                  <pic:blipFill>
                    <a:blip r:embed="rId35"/>
                    <a:stretch>
                      <a:fillRect/>
                    </a:stretch>
                  </pic:blipFill>
                  <pic:spPr bwMode="auto">
                    <a:xfrm>
                      <a:off x="0" y="0"/>
                      <a:ext cx="5600700" cy="4304538"/>
                    </a:xfrm>
                    <a:prstGeom prst="rect">
                      <a:avLst/>
                    </a:prstGeom>
                    <a:noFill/>
                    <a:ln w="9525">
                      <a:noFill/>
                      <a:headEnd/>
                      <a:tailEnd/>
                    </a:ln>
                  </pic:spPr>
                </pic:pic>
              </a:graphicData>
            </a:graphic>
          </wp:inline>
        </w:drawing>
      </w:r>
      <w:bookmarkEnd w:id="38"/>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2023-06-29T04:39:30Z</dcterms:created>
  <dcterms:modified xsi:type="dcterms:W3CDTF">2023-06-29T04:39:30Z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