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45"/>
        <w:gridCol w:w="6274"/>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1.4b97708</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0" w:name="Xfee84a66729f93b4560c6bc2103cda987103caf"/>
    <w:p>
      <w:pPr>
        <w:pStyle w:val="Ttulo1"/>
      </w:pPr>
      <w:r>
        <w:t xml:space="preserve">Flujos de Trabajo Oficina de Arquitectura</w:t>
      </w:r>
    </w:p>
    <w:p>
      <w:pPr>
        <w:pStyle w:val="FirstParagraph"/>
      </w:pPr>
      <w:r>
        <w:t xml:space="preserve">El flujo de trabajo de la oficina de arquitectura es un mecanismo de prevención de las carencias de gobierno 0.2 del FNA (ver</w:t>
      </w:r>
      <w:r>
        <w:t xml:space="preserve"> </w:t>
      </w:r>
      <w:hyperlink r:id="rId22">
        <w:r>
          <w:rPr>
            <w:rStyle w:val="Hipervnculo"/>
          </w:rPr>
          <w:t xml:space="preserve">Análisis de susceptibilidad de gobierno (PR01)</w:t>
        </w:r>
      </w:hyperlink>
      <w:r>
        <w:t xml:space="preserve">, y</w:t>
      </w:r>
      <w:r>
        <w:t xml:space="preserve"> </w:t>
      </w:r>
      <w:hyperlink r:id="rId23">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24" w:name="susceptibilidades-de-gobierno-pr01"/>
    <w:p>
      <w:pPr>
        <w:pStyle w:val="Ttulo2"/>
      </w:pPr>
      <w:r>
        <w:t xml:space="preserve">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p>
      <w:pPr>
        <w:pStyle w:val="Textoindependiente"/>
      </w:pPr>
      <w:r>
        <w:t xml:space="preserve">Adicional a estas, existen otras problemáticas inherentes ya no al Gobierno, si no a la colaboración y autoría de modelos de arquitectura. Estas problemáticas, que las llamaremos de colaboración, también son abordadas por los flujos de trabajo diseñados para la oficina de arquitectura del FNA.</w:t>
      </w:r>
    </w:p>
    <w:bookmarkEnd w:id="24"/>
    <w:bookmarkStart w:id="25" w:name="problematicas"/>
    <w:p>
      <w:pPr>
        <w:pStyle w:val="Ttulo2"/>
      </w:pPr>
      <w:r>
        <w:t xml:space="preserve">Problemáticas de Colaboración y Edición de Modelos</w:t>
      </w:r>
    </w:p>
    <w:p>
      <w:pPr>
        <w:pStyle w:val="FirstParagraph"/>
      </w:pPr>
      <w:r>
        <w:t xml:space="preserve">Existen tres problemáticas exclusivas de la creación de modelos, a las cuales buscamos darle manejo desde este ejercicio de gobierno y puesta en marcha de la Oficina de Arquitectura del FNA. Estos problemas de modelamiento, y que son más cuestionables a los profesionales de arquitectura de todos los dominios (software, datos, etc.), se presentan en la forma cómo colaboran al momento de documentar, aumentar detalle, o gestionar las versiones de los modelos.</w:t>
      </w:r>
    </w:p>
    <w:p>
      <w:pPr>
        <w:pStyle w:val="Textoindependiente"/>
      </w:pPr>
      <w:r>
        <w:t xml:space="preserve">Son señales de problemas de colaboración en el modelamiento de arquitectura</w:t>
      </w:r>
    </w:p>
    <w:p>
      <w:pPr>
        <w:numPr>
          <w:ilvl w:val="0"/>
          <w:numId w:val="1002"/>
        </w:numPr>
        <w:pStyle w:val="Compact"/>
      </w:pPr>
      <w:r>
        <w:rPr>
          <w:bCs/>
          <w:b/>
        </w:rPr>
        <w:t xml:space="preserve">Fragmentación</w:t>
      </w:r>
      <w:r>
        <w:t xml:space="preserve">. Equipos de arquitectura separados en distintas empresas, grupos o divisiones físicas o administrativas y con poca o nada comunicación mediada por lenguajes informales, no por diseños.</w:t>
      </w:r>
    </w:p>
    <w:p>
      <w:pPr>
        <w:numPr>
          <w:ilvl w:val="0"/>
          <w:numId w:val="1002"/>
        </w:numPr>
        <w:pStyle w:val="Compact"/>
      </w:pPr>
      <w:r>
        <w:rPr>
          <w:bCs/>
          <w:b/>
        </w:rPr>
        <w:t xml:space="preserve">Aislamiento</w:t>
      </w:r>
      <w:r>
        <w:t xml:space="preserve">. Áreas de arquitectura trabajando de manera solitaria crean y usan diferentes estilos, estándares, relacionamiento y niveles de detalle en el modelamiento.</w:t>
      </w:r>
    </w:p>
    <w:p>
      <w:pPr>
        <w:numPr>
          <w:ilvl w:val="0"/>
          <w:numId w:val="1002"/>
        </w:numPr>
        <w:pStyle w:val="Compact"/>
      </w:pPr>
      <w:r>
        <w:rPr>
          <w:bCs/>
          <w:b/>
        </w:rPr>
        <w:t xml:space="preserve">Desapropiación</w:t>
      </w:r>
      <w:r>
        <w:t xml:space="preserve">. La falta de autoría de los modelos: aquel que reclama la propiedad de la información de arquitectura de los modelos, de los niveles de detalles y de las decisiones de soporte, afecta a los equipos de arquitectura, así como a externos, que no saben a quién dirigirse para entender estos activos.</w:t>
      </w:r>
    </w:p>
    <w:p>
      <w:pPr>
        <w:pStyle w:val="FirstParagraph"/>
      </w:pPr>
    </w:p>
    <w:bookmarkEnd w:id="25"/>
    <w:bookmarkStart w:id="31"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3"/>
        </w:numPr>
        <w:pStyle w:val="Compact"/>
      </w:pPr>
      <w:r>
        <w:t xml:space="preserve">Recibe el requerimiento de arquitectura</w:t>
      </w:r>
    </w:p>
    <w:p>
      <w:pPr>
        <w:numPr>
          <w:ilvl w:val="1"/>
          <w:numId w:val="1004"/>
        </w:numPr>
        <w:pStyle w:val="Compact"/>
      </w:pPr>
      <w:r>
        <w:t xml:space="preserve">Inicia el proceso ADM - Fase de preliminar: alistamiento y aprobación​</w:t>
      </w:r>
    </w:p>
    <w:p>
      <w:pPr>
        <w:numPr>
          <w:ilvl w:val="1"/>
          <w:numId w:val="1004"/>
        </w:numPr>
        <w:pStyle w:val="Compact"/>
      </w:pPr>
      <w:r>
        <w:t xml:space="preserve">Arranca el modelado​ inicial o incremental, nivel 100</w:t>
      </w:r>
      <w:r>
        <w:t xml:space="preserve"> </w:t>
      </w:r>
      <w:r>
        <w:rPr>
          <w:rStyle w:val="Refdenotaalpie"/>
        </w:rPr>
        <w:footnoteReference w:id="26"/>
      </w:r>
    </w:p>
    <w:p>
      <w:pPr>
        <w:numPr>
          <w:ilvl w:val="0"/>
          <w:numId w:val="1003"/>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30" w:name="fig:flujoADM-1.png"/>
      <w:r>
        <w:drawing>
          <wp:inline>
            <wp:extent cx="5600700" cy="3251470"/>
            <wp:effectExtent b="0" l="0" r="0" t="0"/>
            <wp:docPr descr="Imagen 1: alt 1. Actividades del flujo de trabajo de la oficina de arquitectura con arreglo al proceso ADM de TOGAF. Este flujo atiende requerimientos internos de la oficina de arquitectura del FNA." title="" id="28" name="Picture"/>
            <a:graphic>
              <a:graphicData uri="http://schemas.openxmlformats.org/drawingml/2006/picture">
                <pic:pic>
                  <pic:nvPicPr>
                    <pic:cNvPr descr="images/flujoADM-1.png" id="29" name="Picture"/>
                    <pic:cNvPicPr>
                      <a:picLocks noChangeArrowheads="1" noChangeAspect="1"/>
                    </pic:cNvPicPr>
                  </pic:nvPicPr>
                  <pic:blipFill>
                    <a:blip r:embed="rId27"/>
                    <a:stretch>
                      <a:fillRect/>
                    </a:stretch>
                  </pic:blipFill>
                  <pic:spPr bwMode="auto">
                    <a:xfrm>
                      <a:off x="0" y="0"/>
                      <a:ext cx="5600700" cy="3251470"/>
                    </a:xfrm>
                    <a:prstGeom prst="rect">
                      <a:avLst/>
                    </a:prstGeom>
                    <a:noFill/>
                    <a:ln w="9525">
                      <a:noFill/>
                      <a:headEnd/>
                      <a:tailEnd/>
                    </a:ln>
                  </pic:spPr>
                </pic:pic>
              </a:graphicData>
            </a:graphic>
          </wp:inline>
        </w:drawing>
      </w:r>
      <w:bookmarkEnd w:id="30"/>
    </w:p>
    <w:p>
      <w:pPr>
        <w:pStyle w:val="ImageCaption"/>
      </w:pPr>
      <w:r>
        <w:t xml:space="preserve">Imagen 1: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31"/>
    <w:bookmarkStart w:id="34" w:name="X35a939fece6a4b48981e88ef7e3ed738e6c3d00"/>
    <w:p>
      <w:pPr>
        <w:pStyle w:val="Ttulo2"/>
      </w:pPr>
      <w:r>
        <w:t xml:space="preserve">Flujo de Trabajo Oficina de Arquitectura Proveedores (FLUJ02)</w:t>
      </w:r>
    </w:p>
    <w:p>
      <w:pPr>
        <w:pStyle w:val="FirstParagraph"/>
      </w:pPr>
      <w:r>
        <w:t xml:space="preserve">Una variante del flujo de trabajo arquitectura ADM, y más significativa para el FNA, incorpora los tipos de análisis que se deben llevar a cabo, como exigencia del gobierno que estamos instalando.</w:t>
      </w:r>
    </w:p>
    <w:p>
      <w:pPr>
        <w:numPr>
          <w:ilvl w:val="0"/>
          <w:numId w:val="1005"/>
        </w:numPr>
      </w:pPr>
      <w:r>
        <w:t xml:space="preserve">El Arq. FNA recibe el requerimiento de cambio</w:t>
      </w:r>
    </w:p>
    <w:p>
      <w:pPr>
        <w:numPr>
          <w:ilvl w:val="0"/>
          <w:numId w:val="1005"/>
        </w:numPr>
      </w:pPr>
      <w:r>
        <w:t xml:space="preserve">Inicia el proceso ADM - fase de preliminar: alistamiento y probación</w:t>
      </w:r>
    </w:p>
    <w:p>
      <w:pPr>
        <w:numPr>
          <w:ilvl w:val="0"/>
          <w:numId w:val="1005"/>
        </w:numPr>
      </w:pPr>
      <w:r>
        <w:t xml:space="preserve">Inicia el modelado</w:t>
      </w:r>
    </w:p>
    <w:p>
      <w:pPr>
        <w:numPr>
          <w:ilvl w:val="1"/>
          <w:numId w:val="1006"/>
        </w:numPr>
        <w:pStyle w:val="Compact"/>
      </w:pPr>
      <w:r>
        <w:t xml:space="preserve">Diseño</w:t>
      </w:r>
    </w:p>
    <w:p>
      <w:pPr>
        <w:numPr>
          <w:ilvl w:val="2"/>
          <w:numId w:val="1007"/>
        </w:numPr>
        <w:pStyle w:val="Compact"/>
      </w:pPr>
      <w:r>
        <w:t xml:space="preserve">Inicia diseño conceptual (nivel 100): appl, datos, TI, servicios, inversión</w:t>
      </w:r>
    </w:p>
    <w:p>
      <w:pPr>
        <w:numPr>
          <w:ilvl w:val="2"/>
          <w:numId w:val="1007"/>
        </w:numPr>
        <w:pStyle w:val="Compact"/>
      </w:pPr>
      <w:r>
        <w:t xml:space="preserve">Bloques de construcción abstractos</w:t>
      </w:r>
    </w:p>
    <w:p>
      <w:pPr>
        <w:numPr>
          <w:ilvl w:val="1"/>
          <w:numId w:val="1006"/>
        </w:numPr>
        <w:pStyle w:val="Compact"/>
      </w:pPr>
      <w:r>
        <w:t xml:space="preserve">Solución</w:t>
      </w:r>
    </w:p>
    <w:p>
      <w:pPr>
        <w:numPr>
          <w:ilvl w:val="2"/>
          <w:numId w:val="1008"/>
        </w:numPr>
        <w:pStyle w:val="Compact"/>
      </w:pPr>
      <w:r>
        <w:t xml:space="preserve">Bloques de construcción de solución</w:t>
      </w:r>
    </w:p>
    <w:p>
      <w:pPr>
        <w:numPr>
          <w:ilvl w:val="2"/>
          <w:numId w:val="1008"/>
        </w:numPr>
        <w:pStyle w:val="Compact"/>
      </w:pPr>
      <w:r>
        <w:t xml:space="preserve">Solicita diseño detallado (nivel 200, 300, 400 o 500) de los dominios de arquitectura: aplicaciones, datos, infraestructura y servicios</w:t>
      </w:r>
    </w:p>
    <w:p>
      <w:pPr>
        <w:numPr>
          <w:ilvl w:val="0"/>
          <w:numId w:val="1005"/>
        </w:numPr>
      </w:pPr>
      <w:r>
        <w:t xml:space="preserve">El Arquitecto FNA inicia los análisis mínimos</w:t>
      </w:r>
    </w:p>
    <w:p>
      <w:pPr>
        <w:numPr>
          <w:ilvl w:val="1"/>
          <w:numId w:val="1009"/>
        </w:numPr>
        <w:pStyle w:val="Compact"/>
      </w:pPr>
      <w:r>
        <w:t xml:space="preserve">Análisis de impacto</w:t>
      </w:r>
    </w:p>
    <w:p>
      <w:pPr>
        <w:numPr>
          <w:ilvl w:val="1"/>
          <w:numId w:val="1009"/>
        </w:numPr>
        <w:pStyle w:val="Compact"/>
      </w:pPr>
      <w:r>
        <w:t xml:space="preserve">de Complejidad</w:t>
      </w:r>
    </w:p>
    <w:p>
      <w:pPr>
        <w:numPr>
          <w:ilvl w:val="1"/>
          <w:numId w:val="1009"/>
        </w:numPr>
        <w:pStyle w:val="Compact"/>
      </w:pPr>
      <w:r>
        <w:t xml:space="preserve">y Costo / beneficio</w:t>
      </w:r>
    </w:p>
    <w:p>
      <w:pPr>
        <w:numPr>
          <w:ilvl w:val="0"/>
          <w:numId w:val="1005"/>
        </w:numPr>
      </w:pPr>
      <w:r>
        <w:t xml:space="preserve">El Arquitecto FNA (de la oficina de arquitectura) solicita al arquitecto de solución, sea de proveedor interno o externo, el inicio del Proceso ADM - fase de implementación y fase de gobierno</w:t>
      </w:r>
    </w:p>
    <w:p>
      <w:pPr>
        <w:numPr>
          <w:ilvl w:val="1"/>
          <w:numId w:val="1010"/>
        </w:numPr>
        <w:pStyle w:val="Compact"/>
      </w:pPr>
      <w:r>
        <w:t xml:space="preserve">El arquitecto de solución modela los bloques de solución</w:t>
      </w:r>
      <w:r>
        <w:t xml:space="preserve"> </w:t>
      </w:r>
      <w:r>
        <w:rPr>
          <w:rStyle w:val="Refdenotaalpie"/>
        </w:rPr>
        <w:footnoteReference w:id="32"/>
      </w:r>
    </w:p>
    <w:p>
      <w:pPr>
        <w:numPr>
          <w:ilvl w:val="0"/>
          <w:numId w:val="1005"/>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bookmarkStart w:id="33" w:name="Xcae036cdc5bd8b59a8b7da664a5c7a74e54da5d"/>
    <w:p>
      <w:pPr>
        <w:pStyle w:val="Ttulo3"/>
      </w:pPr>
      <w:r>
        <w:t xml:space="preserve">Catálogo de Elementos del Flujo de Trabajo</w:t>
      </w:r>
    </w:p>
    <w:tbl>
      <w:tblPr>
        <w:tblStyle w:val="Table"/>
        <w:tblW w:type="pct" w:w="5000"/>
        <w:tblLook w:firstRow="1" w:lastRow="0" w:firstColumn="0" w:lastColumn="0" w:noHBand="0" w:noVBand="0" w:val="0020"/>
      </w:tblPr>
      <w:tblGrid>
        <w:gridCol w:w="4812"/>
        <w:gridCol w:w="2706"/>
        <w:gridCol w:w="401"/>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ADM Gobierno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Implementación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ADM Preliminar Cambio 001</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GOB03. Modelamiento</w:t>
            </w:r>
          </w:p>
        </w:tc>
        <w:tc>
          <w:tcPr/>
          <w:p>
            <w:pPr>
              <w:pStyle w:val="Compact"/>
              <w:jc w:val="left"/>
            </w:pPr>
            <w:r>
              <w:t xml:space="preserve">application-collaboration</w:t>
            </w:r>
          </w:p>
        </w:tc>
        <w:tc>
          <w:tcPr/>
          <w:p>
            <w:pPr>
              <w:pStyle w:val="Compact"/>
            </w:pPr>
          </w:p>
        </w:tc>
      </w:tr>
      <w:tr>
        <w:tc>
          <w:tcPr/>
          <w:p>
            <w:pPr>
              <w:pStyle w:val="Compact"/>
              <w:jc w:val="left"/>
            </w:pPr>
            <w:r>
              <w:rPr>
                <w:bCs/>
                <w:b/>
              </w:rPr>
              <w:t xml:space="preserve">GOB04. Repositorio Artefactos FNA &lt;</w:t>
            </w:r>
            <w:r>
              <w:rPr>
                <w:bCs/>
                <w:b/>
              </w:rPr>
              <w:t xml:space="preserve">&gt;</w:t>
            </w:r>
          </w:p>
        </w:tc>
        <w:tc>
          <w:tcPr/>
          <w:p>
            <w:pPr>
              <w:pStyle w:val="Compact"/>
              <w:jc w:val="left"/>
            </w:pPr>
            <w:r>
              <w:t xml:space="preserve">application-interaction</w:t>
            </w:r>
          </w:p>
        </w:tc>
        <w:tc>
          <w:tcPr/>
          <w:p>
            <w:pPr>
              <w:pStyle w:val="Compact"/>
            </w:pPr>
          </w:p>
        </w:tc>
      </w:tr>
      <w:tr>
        <w:tc>
          <w:tcPr/>
          <w:p>
            <w:pPr>
              <w:pStyle w:val="Compact"/>
              <w:jc w:val="left"/>
            </w:pPr>
            <w:r>
              <w:rPr>
                <w:bCs/>
                <w:b/>
              </w:rPr>
              <w:t xml:space="preserve">Aplicaciones</w:t>
            </w:r>
          </w:p>
        </w:tc>
        <w:tc>
          <w:tcPr/>
          <w:p>
            <w:pPr>
              <w:pStyle w:val="Compact"/>
              <w:jc w:val="left"/>
            </w:pPr>
            <w:r>
              <w:t xml:space="preserve">application-process</w:t>
            </w:r>
          </w:p>
        </w:tc>
        <w:tc>
          <w:tcPr/>
          <w:p>
            <w:pPr>
              <w:pStyle w:val="Compact"/>
            </w:pPr>
          </w:p>
        </w:tc>
      </w:tr>
      <w:tr>
        <w:tc>
          <w:tcPr/>
          <w:p>
            <w:pPr>
              <w:pStyle w:val="Compact"/>
              <w:jc w:val="left"/>
            </w:pPr>
            <w:r>
              <w:rPr>
                <w:bCs/>
                <w:b/>
              </w:rPr>
              <w:t xml:space="preserve">Datos</w:t>
            </w:r>
          </w:p>
        </w:tc>
        <w:tc>
          <w:tcPr/>
          <w:p>
            <w:pPr>
              <w:pStyle w:val="Compact"/>
              <w:jc w:val="left"/>
            </w:pPr>
            <w:r>
              <w:t xml:space="preserve">application-process</w:t>
            </w:r>
          </w:p>
        </w:tc>
        <w:tc>
          <w:tcPr/>
          <w:p>
            <w:pPr>
              <w:pStyle w:val="Compact"/>
            </w:pPr>
          </w:p>
        </w:tc>
      </w:tr>
      <w:tr>
        <w:tc>
          <w:tcPr/>
          <w:p>
            <w:pPr>
              <w:pStyle w:val="Compact"/>
              <w:jc w:val="left"/>
            </w:pPr>
            <w:r>
              <w:rPr>
                <w:bCs/>
                <w:b/>
              </w:rPr>
              <w:t xml:space="preserve">Infraestructura</w:t>
            </w:r>
          </w:p>
        </w:tc>
        <w:tc>
          <w:tcPr/>
          <w:p>
            <w:pPr>
              <w:pStyle w:val="Compact"/>
              <w:jc w:val="left"/>
            </w:pPr>
            <w:r>
              <w:t xml:space="preserve">application-process</w:t>
            </w:r>
          </w:p>
        </w:tc>
        <w:tc>
          <w:tcPr/>
          <w:p>
            <w:pPr>
              <w:pStyle w:val="Compact"/>
            </w:pPr>
          </w:p>
        </w:tc>
      </w:tr>
      <w:tr>
        <w:tc>
          <w:tcPr/>
          <w:p>
            <w:pPr>
              <w:pStyle w:val="Compact"/>
              <w:jc w:val="left"/>
            </w:pPr>
            <w:r>
              <w:rPr>
                <w:bCs/>
                <w:b/>
              </w:rPr>
              <w:t xml:space="preserve">Inversión TI</w:t>
            </w:r>
          </w:p>
        </w:tc>
        <w:tc>
          <w:tcPr/>
          <w:p>
            <w:pPr>
              <w:pStyle w:val="Compact"/>
              <w:jc w:val="left"/>
            </w:pPr>
            <w:r>
              <w:t xml:space="preserve">application-process</w:t>
            </w:r>
          </w:p>
        </w:tc>
        <w:tc>
          <w:tcPr/>
          <w:p>
            <w:pPr>
              <w:pStyle w:val="Compact"/>
            </w:pPr>
          </w:p>
        </w:tc>
      </w:tr>
      <w:tr>
        <w:tc>
          <w:tcPr/>
          <w:p>
            <w:pPr>
              <w:pStyle w:val="Compact"/>
              <w:jc w:val="left"/>
            </w:pPr>
            <w:r>
              <w:rPr>
                <w:bCs/>
                <w:b/>
              </w:rPr>
              <w:t xml:space="preserve">Servicios</w:t>
            </w:r>
          </w:p>
        </w:tc>
        <w:tc>
          <w:tcPr/>
          <w:p>
            <w:pPr>
              <w:pStyle w:val="Compact"/>
              <w:jc w:val="left"/>
            </w:pPr>
            <w:r>
              <w:t xml:space="preserve">application-process</w:t>
            </w:r>
          </w:p>
        </w:tc>
        <w:tc>
          <w:tcPr/>
          <w:p>
            <w:pPr>
              <w:pStyle w:val="Compact"/>
            </w:pP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pP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pPr>
          </w:p>
        </w:tc>
      </w:tr>
      <w:tr>
        <w:tc>
          <w:tcPr/>
          <w:p>
            <w:pPr>
              <w:pStyle w:val="Compact"/>
              <w:jc w:val="left"/>
            </w:pPr>
            <w:r>
              <w:rPr>
                <w:bCs/>
                <w:b/>
              </w:rPr>
              <w:t xml:space="preserve">Análisis</w:t>
            </w:r>
          </w:p>
        </w:tc>
        <w:tc>
          <w:tcPr/>
          <w:p>
            <w:pPr>
              <w:pStyle w:val="Compact"/>
              <w:jc w:val="left"/>
            </w:pPr>
            <w:r>
              <w:t xml:space="preserve">data-object</w:t>
            </w:r>
          </w:p>
        </w:tc>
        <w:tc>
          <w:tcPr/>
          <w:p>
            <w:pPr>
              <w:pStyle w:val="Compact"/>
              <w:jc w:val="left"/>
            </w:pPr>
            <w:r>
              <w:t xml:space="preserve">Análisis de impacto, complejidad, plan de cambios, estimaciones, costo / beneficio.</w:t>
            </w:r>
          </w:p>
        </w:tc>
      </w:tr>
      <w:tr>
        <w:tc>
          <w:tcPr/>
          <w:p>
            <w:pPr>
              <w:pStyle w:val="Compact"/>
              <w:jc w:val="left"/>
            </w:pPr>
            <w:r>
              <w:rPr>
                <w:bCs/>
                <w:b/>
              </w:rPr>
              <w:t xml:space="preserve">Bloques de Solución (N200…500)</w:t>
            </w:r>
          </w:p>
        </w:tc>
        <w:tc>
          <w:tcPr/>
          <w:p>
            <w:pPr>
              <w:pStyle w:val="Compact"/>
              <w:jc w:val="left"/>
            </w:pPr>
            <w:r>
              <w:t xml:space="preserve">data-object</w:t>
            </w:r>
          </w:p>
        </w:tc>
        <w:tc>
          <w:tcPr/>
          <w:p>
            <w:pPr>
              <w:pStyle w:val="Compact"/>
            </w:pPr>
          </w:p>
        </w:tc>
      </w:tr>
      <w:tr>
        <w:tc>
          <w:tcPr/>
          <w:p>
            <w:pPr>
              <w:pStyle w:val="Compact"/>
              <w:jc w:val="left"/>
            </w:pPr>
            <w:r>
              <w:rPr>
                <w:bCs/>
                <w:b/>
              </w:rPr>
              <w:t xml:space="preserve">Contenidos</w:t>
            </w:r>
          </w:p>
        </w:tc>
        <w:tc>
          <w:tcPr/>
          <w:p>
            <w:pPr>
              <w:pStyle w:val="Compact"/>
              <w:jc w:val="left"/>
            </w:pPr>
            <w:r>
              <w:t xml:space="preserve">data-object</w:t>
            </w:r>
          </w:p>
        </w:tc>
        <w:tc>
          <w:tcPr/>
          <w:p>
            <w:pPr>
              <w:pStyle w:val="Compact"/>
              <w:jc w:val="left"/>
            </w:pPr>
            <w:r>
              <w:t xml:space="preserve">Presentaciones, Diagramas, Textos, Matrices, Listas, Catálogos, Estimaciones.</w:t>
            </w:r>
          </w:p>
        </w:tc>
      </w:tr>
      <w:tr>
        <w:tc>
          <w:tcPr/>
          <w:p>
            <w:pPr>
              <w:pStyle w:val="Compact"/>
              <w:jc w:val="left"/>
            </w:pPr>
            <w:r>
              <w:rPr>
                <w:bCs/>
                <w:b/>
              </w:rPr>
              <w:t xml:space="preserve">Diseños (N100)</w:t>
            </w:r>
          </w:p>
        </w:tc>
        <w:tc>
          <w:tcPr/>
          <w:p>
            <w:pPr>
              <w:pStyle w:val="Compact"/>
              <w:jc w:val="left"/>
            </w:pPr>
            <w:r>
              <w:t xml:space="preserve">data-object</w:t>
            </w:r>
          </w:p>
        </w:tc>
        <w:tc>
          <w:tcPr/>
          <w:p>
            <w:pPr>
              <w:pStyle w:val="Compact"/>
              <w:jc w:val="left"/>
            </w:pPr>
            <w:r>
              <w:t xml:space="preserve">Diseños de nivel 100. Conceptuales. Necesarios para insumo de análisis de impacto, complejidad y costo / beneficio.</w:t>
            </w:r>
          </w:p>
        </w:tc>
      </w:tr>
    </w:tbl>
    <w:p>
      <w:pPr>
        <w:pStyle w:val="Textoindependiente"/>
      </w:pPr>
    </w:p>
    <w:bookmarkEnd w:id="33"/>
    <w:bookmarkEnd w:id="34"/>
    <w:bookmarkStart w:id="39"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38" w:name="fig:flujoADM-2.png"/>
      <w:r>
        <w:drawing>
          <wp:inline>
            <wp:extent cx="5600700" cy="3125701"/>
            <wp:effectExtent b="0" l="0" r="0" t="0"/>
            <wp:docPr descr="Imagen 2: alt 2. Actividades y relaciones de los estados de un flujo de trabajo de la oficina de arquitectura con arreglo al proceso ADM de TOGAF. Flujo para la oficina de arquitectura en conjunto con proveedores del FNA." title="" id="36" name="Picture"/>
            <a:graphic>
              <a:graphicData uri="http://schemas.openxmlformats.org/drawingml/2006/picture">
                <pic:pic>
                  <pic:nvPicPr>
                    <pic:cNvPr descr="images/flujoADM-2.png" id="37" name="Picture"/>
                    <pic:cNvPicPr>
                      <a:picLocks noChangeArrowheads="1" noChangeAspect="1"/>
                    </pic:cNvPicPr>
                  </pic:nvPicPr>
                  <pic:blipFill>
                    <a:blip r:embed="rId35"/>
                    <a:stretch>
                      <a:fillRect/>
                    </a:stretch>
                  </pic:blipFill>
                  <pic:spPr bwMode="auto">
                    <a:xfrm>
                      <a:off x="0" y="0"/>
                      <a:ext cx="5600700" cy="3125701"/>
                    </a:xfrm>
                    <a:prstGeom prst="rect">
                      <a:avLst/>
                    </a:prstGeom>
                    <a:noFill/>
                    <a:ln w="9525">
                      <a:noFill/>
                      <a:headEnd/>
                      <a:tailEnd/>
                    </a:ln>
                  </pic:spPr>
                </pic:pic>
              </a:graphicData>
            </a:graphic>
          </wp:inline>
        </w:drawing>
      </w:r>
      <w:bookmarkEnd w:id="38"/>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39"/>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Textonotapie"/>
      </w:pPr>
      <w:r>
        <w:rPr>
          <w:rStyle w:val="Refdenotaalpie"/>
        </w:rPr>
        <w:footnoteRef/>
      </w:r>
      <w:r>
        <w:t xml:space="preserve"> </w:t>
      </w:r>
      <w:r>
        <w:t xml:space="preserve">Niveles de detalle de la ingeniería: https://editeca.com/lod-nivel-de-desarrollo/</w:t>
      </w:r>
    </w:p>
  </w:footnote>
  <w:footnote w:id="32">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pry1/content/01a3.flujos.md" TargetMode="External" /><Relationship Type="http://schemas.openxmlformats.org/officeDocument/2006/relationships/hyperlink" Id="rId23"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2023-07-26T20:08:22Z</dcterms:created>
  <dcterms:modified xsi:type="dcterms:W3CDTF">2023-07-26T20:08:22Z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