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1.cfea210</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áticas-de-colaboración"/>
    <w:p>
      <w:pPr>
        <w:pStyle w:val="Ttulo2"/>
      </w:pPr>
      <w:r>
        <w:t xml:space="preserve">Problemáticas de Colaboración</w:t>
      </w:r>
    </w:p>
    <w:p>
      <w:pPr>
        <w:pStyle w:val="FirstParagraph"/>
      </w:pPr>
      <w:r>
        <w:t xml:space="preserve">Existen tres problemáticas exclusivas de la creación de modelos, en general, pero que son más cuestionables para los profesionales de arquitectura de de todos los dominios, software, datos, etc. Estas se presnetan en la forma cómo colaboran al momento de documentar, aumentar detalle, o gestionar las versiones de los modelos.</w:t>
      </w:r>
    </w:p>
    <w:p>
      <w:pPr>
        <w:pStyle w:val="Textoindependiente"/>
      </w:pPr>
      <w:r>
        <w:t xml:space="preserve">Son señales de problemas de colaboarción en el modelamiento de arquitectura</w:t>
      </w:r>
    </w:p>
    <w:p>
      <w:pPr>
        <w:numPr>
          <w:ilvl w:val="0"/>
          <w:numId w:val="1002"/>
        </w:numPr>
        <w:pStyle w:val="Compact"/>
      </w:pPr>
      <w:r>
        <w:rPr>
          <w:bCs/>
          <w:b/>
        </w:rPr>
        <w:t xml:space="preserve">Fragmentación</w:t>
      </w:r>
      <w:r>
        <w:t xml:space="preserve">. Equipos de arquitectura sepadaros en distintas empresas, grupos o divisiones físicas o administrativas y con poca o nada comunicación.</w:t>
      </w:r>
    </w:p>
    <w:p>
      <w:pPr>
        <w:numPr>
          <w:ilvl w:val="0"/>
          <w:numId w:val="1002"/>
        </w:numPr>
        <w:pStyle w:val="Compact"/>
      </w:pPr>
      <w:r>
        <w:rPr>
          <w:bCs/>
          <w:b/>
        </w:rPr>
        <w:t xml:space="preserve">Aislammiento</w:t>
      </w:r>
      <w:r>
        <w:t xml:space="preserve">. Áreas de arquitectura trabajando de manera solitaria crean y usan diferentes estilos, estándares, relacionamiento y niveles de detalle de modelamiento.</w:t>
      </w:r>
    </w:p>
    <w:p>
      <w:pPr>
        <w:numPr>
          <w:ilvl w:val="0"/>
          <w:numId w:val="1002"/>
        </w:numPr>
        <w:pStyle w:val="Compact"/>
      </w:pPr>
      <w:r>
        <w:rPr>
          <w:bCs/>
          <w:b/>
        </w:rPr>
        <w:t xml:space="preserve">Desapropiamiento</w:t>
      </w:r>
      <w:r>
        <w:t xml:space="preserve">. La falta de autoría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715f520c-ee92-4be0-a4c8-29bb577c0e24"/>
    <w:p>
      <w:pPr>
        <w:pStyle w:val="CaptionedFigure"/>
      </w:pPr>
      <w:bookmarkStart w:id="30" w:name="fig:"/>
      <w:r>
        <w:drawing>
          <wp:inline>
            <wp:extent cx="5600700" cy="4438729"/>
            <wp:effectExtent b="0" l="0" r="0" t="0"/>
            <wp:docPr descr="Imagen 1: alt 1. Actividades y relaciones de los estados de un flujo de trabajo de la oficina de arquitectura con arreglo al proceso ADM de TOGAF. Flujo para los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4438729"/>
                    </a:xfrm>
                    <a:prstGeom prst="rect">
                      <a:avLst/>
                    </a:prstGeom>
                    <a:noFill/>
                    <a:ln w="9525">
                      <a:noFill/>
                      <a:headEnd/>
                      <a:tailEnd/>
                    </a:ln>
                  </pic:spPr>
                </pic:pic>
              </a:graphicData>
            </a:graphic>
          </wp:inline>
        </w:drawing>
      </w:r>
      <w:bookmarkEnd w:id="30"/>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1980"/>
        <w:gridCol w:w="1113"/>
        <w:gridCol w:w="4826"/>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Inversion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w:t>
            </w:r>
            <w:r>
              <w:t xml:space="preserve"> </w:t>
            </w:r>
          </w:p>
        </w:tc>
      </w:tr>
      <w:tr>
        <w:tc>
          <w:tcPr/>
          <w:p>
            <w:pPr>
              <w:pStyle w:val="Compact"/>
              <w:jc w:val="left"/>
            </w:pPr>
            <w:r>
              <w:rPr>
                <w:bCs/>
                <w:b/>
              </w:rPr>
              <w:t xml:space="preserve">Bloques de Solucion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e50bcebf-7679-4539-a4fd-77331d01d1ba"/>
    <w:p>
      <w:pPr>
        <w:pStyle w:val="CaptionedFigure"/>
      </w:pPr>
      <w:bookmarkStart w:id="38" w:name="fig:"/>
      <w:r>
        <w:drawing>
          <wp:inline>
            <wp:extent cx="5600700" cy="4304538"/>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4304538"/>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2023-06-24T20:12:21Z</dcterms:created>
  <dcterms:modified xsi:type="dcterms:W3CDTF">2023-06-24T20:12:21Z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