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1.ae6a38e</w:t>
            </w:r>
            <w:r>
              <w:t xml:space="preserve"> </w:t>
            </w:r>
            <w:r>
              <w:t xml:space="preserve">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fee84a66729f93b4560c6bc2103cda987103caf"/>
    <w:p>
      <w:pPr>
        <w:pStyle w:val="Ttulo1"/>
      </w:pPr>
      <w:r>
        <w:t xml:space="preserve">Flujos de Trabajo Oficina de Arquitectura</w:t>
      </w:r>
    </w:p>
    <w:p>
      <w:pPr>
        <w:pStyle w:val="FirstParagraph"/>
      </w:pPr>
      <w:r>
        <w:t xml:space="preserve">Los flujos siguientes han sido definidos para priorizar la atención a los problemas encontrados en el análisis de susceptibilidad de gobierno, PR01.</w:t>
      </w:r>
    </w:p>
    <w:bookmarkStart w:id="27" w:name="Xf812f315a73bafe088111c71a2a8af4a19ed907"/>
    <w:p>
      <w:pPr>
        <w:pStyle w:val="Ttulo2"/>
      </w:pPr>
      <w:r>
        <w:t xml:space="preserve">Flujo de Trabajo Oficina de Arquitectura Interno</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8c300a11-e766-4f51-9eba-20fdb91acf5c"/>
    <w:p>
      <w:pPr>
        <w:pStyle w:val="CaptionedFigure"/>
      </w:pPr>
      <w:bookmarkStart w:id="26" w:name="fig:"/>
      <w:r>
        <w:drawing>
          <wp:inline>
            <wp:extent cx="5600700" cy="4502286"/>
            <wp:effectExtent b="0" l="0" r="0" t="0"/>
            <wp:docPr descr="Imagen 1: alt 1. Actividades y relaciones de los estados de un flujo de trabajo de la oficina de arquitectura con arreglo al proceso ADM de TOGAF. Flujo para los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4502286"/>
                    </a:xfrm>
                    <a:prstGeom prst="rect">
                      <a:avLst/>
                    </a:prstGeom>
                    <a:noFill/>
                    <a:ln w="9525">
                      <a:noFill/>
                      <a:headEnd/>
                      <a:tailEnd/>
                    </a:ln>
                  </pic:spPr>
                </pic:pic>
              </a:graphicData>
            </a:graphic>
          </wp:inline>
        </w:drawing>
      </w:r>
      <w:bookmarkEnd w:id="26"/>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27"/>
    <w:bookmarkStart w:id="33" w:name="X92d03f3adb5d47af85cad9582ea8b53c71dbd40"/>
    <w:p>
      <w:pPr>
        <w:pStyle w:val="Ttulo2"/>
      </w:pPr>
      <w:r>
        <w:t xml:space="preserve">Flujo de Trabajo Oficina de Arquitectura Colaborativo (Proveedores)</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3"/>
        </w:numPr>
      </w:pPr>
      <w:r>
        <w:t xml:space="preserve">El Arq. FNA recibe el requerimientos de cambio</w:t>
      </w:r>
    </w:p>
    <w:p>
      <w:pPr>
        <w:numPr>
          <w:ilvl w:val="0"/>
          <w:numId w:val="1003"/>
        </w:numPr>
      </w:pPr>
      <w:r>
        <w:t xml:space="preserve">Inicia el proceso ADM - fase de preliminar: alistamiento y probación</w:t>
      </w:r>
    </w:p>
    <w:p>
      <w:pPr>
        <w:numPr>
          <w:ilvl w:val="0"/>
          <w:numId w:val="1003"/>
        </w:numPr>
      </w:pPr>
      <w:r>
        <w:t xml:space="preserve">Inicia el modelado</w:t>
      </w:r>
    </w:p>
    <w:p>
      <w:pPr>
        <w:numPr>
          <w:ilvl w:val="1"/>
          <w:numId w:val="1004"/>
        </w:numPr>
        <w:pStyle w:val="Compact"/>
      </w:pPr>
      <w:r>
        <w:t xml:space="preserve">Diseño</w:t>
      </w:r>
    </w:p>
    <w:p>
      <w:pPr>
        <w:numPr>
          <w:ilvl w:val="2"/>
          <w:numId w:val="1005"/>
        </w:numPr>
        <w:pStyle w:val="Compact"/>
      </w:pPr>
      <w:r>
        <w:t xml:space="preserve">Inicia diseño conceptual (nivel 100): appl, datos, TI, servicios, inversión</w:t>
      </w:r>
    </w:p>
    <w:p>
      <w:pPr>
        <w:numPr>
          <w:ilvl w:val="2"/>
          <w:numId w:val="1005"/>
        </w:numPr>
        <w:pStyle w:val="Compact"/>
      </w:pPr>
      <w:r>
        <w:t xml:space="preserve">Bloques de construcción abstractos</w:t>
      </w:r>
    </w:p>
    <w:p>
      <w:pPr>
        <w:numPr>
          <w:ilvl w:val="1"/>
          <w:numId w:val="1004"/>
        </w:numPr>
        <w:pStyle w:val="Compact"/>
      </w:pPr>
      <w:r>
        <w:t xml:space="preserve">Solución</w:t>
      </w:r>
    </w:p>
    <w:p>
      <w:pPr>
        <w:numPr>
          <w:ilvl w:val="2"/>
          <w:numId w:val="1006"/>
        </w:numPr>
        <w:pStyle w:val="Compact"/>
      </w:pPr>
      <w:r>
        <w:t xml:space="preserve">Bloques de construcción de solución</w:t>
      </w:r>
    </w:p>
    <w:p>
      <w:pPr>
        <w:numPr>
          <w:ilvl w:val="2"/>
          <w:numId w:val="1006"/>
        </w:numPr>
        <w:pStyle w:val="Compact"/>
      </w:pPr>
      <w:r>
        <w:t xml:space="preserve">Solicita diseño detallado (nivel 200, 300, 400 o 500) de los dominios de arquitectura: aplicaciones, datos, infraestructura y servicios</w:t>
      </w:r>
    </w:p>
    <w:p>
      <w:pPr>
        <w:numPr>
          <w:ilvl w:val="0"/>
          <w:numId w:val="1003"/>
        </w:numPr>
      </w:pPr>
      <w:r>
        <w:t xml:space="preserve">El Arquitecto FNA inicia los análisis mínimos</w:t>
      </w:r>
    </w:p>
    <w:p>
      <w:pPr>
        <w:numPr>
          <w:ilvl w:val="1"/>
          <w:numId w:val="1007"/>
        </w:numPr>
        <w:pStyle w:val="Compact"/>
      </w:pPr>
      <w:r>
        <w:t xml:space="preserve">Análisis de impacto</w:t>
      </w:r>
    </w:p>
    <w:p>
      <w:pPr>
        <w:numPr>
          <w:ilvl w:val="1"/>
          <w:numId w:val="1007"/>
        </w:numPr>
        <w:pStyle w:val="Compact"/>
      </w:pPr>
      <w:r>
        <w:t xml:space="preserve">de Complejidad</w:t>
      </w:r>
    </w:p>
    <w:p>
      <w:pPr>
        <w:numPr>
          <w:ilvl w:val="1"/>
          <w:numId w:val="1007"/>
        </w:numPr>
        <w:pStyle w:val="Compact"/>
      </w:pPr>
      <w:r>
        <w:t xml:space="preserve">y Costo / beneficio</w:t>
      </w:r>
    </w:p>
    <w:p>
      <w:pPr>
        <w:numPr>
          <w:ilvl w:val="0"/>
          <w:numId w:val="1003"/>
        </w:numPr>
      </w:pPr>
      <w:r>
        <w:t xml:space="preserve">El Arquitecto FNA (de la oficina de arquitectura) solicita al arquitecto de solución, sea de proveedor interno o externo, el inicio del Proceso ADM - fase de implementación y fase de gobierno</w:t>
      </w:r>
    </w:p>
    <w:p>
      <w:pPr>
        <w:numPr>
          <w:ilvl w:val="1"/>
          <w:numId w:val="1008"/>
        </w:numPr>
        <w:pStyle w:val="Compact"/>
      </w:pPr>
      <w:r>
        <w:t xml:space="preserve">El arquitecto de solución modela los bloques de solución</w:t>
      </w:r>
      <w:r>
        <w:t xml:space="preserve"> </w:t>
      </w:r>
      <w:r>
        <w:rPr>
          <w:rStyle w:val="Refdenotaalpie"/>
        </w:rPr>
        <w:footnoteReference w:id="28"/>
      </w:r>
    </w:p>
    <w:p>
      <w:pPr>
        <w:numPr>
          <w:ilvl w:val="0"/>
          <w:numId w:val="1003"/>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106783fb-8666-4a16-ae7b-7a89cd4db901"/>
    <w:p>
      <w:pPr>
        <w:pStyle w:val="CaptionedFigure"/>
      </w:pPr>
      <w:bookmarkStart w:id="32" w:name="fig:"/>
      <w:r>
        <w:drawing>
          <wp:inline>
            <wp:extent cx="5600700" cy="4460578"/>
            <wp:effectExtent b="0" l="0" r="0" t="0"/>
            <wp:docPr descr="Imagen 2: alt 2. Actividades y relaciones de los estados de un flujo de trabajo de la oficina de arquitectura con arreglo al proceso ADM de TOGAF. Flujo para la oficina de arquitectura en conjunto con proveedores del FNA." title="" id="30" name="Picture"/>
            <a:graphic>
              <a:graphicData uri="http://schemas.openxmlformats.org/drawingml/2006/picture">
                <pic:pic>
                  <pic:nvPicPr>
                    <pic:cNvPr descr="images/flujoADM-2.png" id="31" name="Picture"/>
                    <pic:cNvPicPr>
                      <a:picLocks noChangeArrowheads="1" noChangeAspect="1"/>
                    </pic:cNvPicPr>
                  </pic:nvPicPr>
                  <pic:blipFill>
                    <a:blip r:embed="rId29"/>
                    <a:stretch>
                      <a:fillRect/>
                    </a:stretch>
                  </pic:blipFill>
                  <pic:spPr bwMode="auto">
                    <a:xfrm>
                      <a:off x="0" y="0"/>
                      <a:ext cx="5600700" cy="4460578"/>
                    </a:xfrm>
                    <a:prstGeom prst="rect">
                      <a:avLst/>
                    </a:prstGeom>
                    <a:noFill/>
                    <a:ln w="9525">
                      <a:noFill/>
                      <a:headEnd/>
                      <a:tailEnd/>
                    </a:ln>
                  </pic:spPr>
                </pic:pic>
              </a:graphicData>
            </a:graphic>
          </wp:inline>
        </w:drawing>
      </w:r>
      <w:bookmarkEnd w:id="32"/>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 w:id="28">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2023-06-21T18:07:06Z</dcterms:created>
  <dcterms:modified xsi:type="dcterms:W3CDTF">2023-06-21T18:07:06Z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