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dispoitovos de control que la Oficina de Arquitetura del Fondo haya dispuesto para este propósito.</w:t>
      </w:r>
    </w:p>
    <w:bookmarkEnd w:id="21"/>
    <w:bookmarkStart w:id="26" w:name="Xf2b20e38ad7674fdfa6c9f3d72f84555cccc9c0"/>
    <w:p>
      <w:pPr>
        <w:pStyle w:val="Ttulo2"/>
      </w:pPr>
      <w:r>
        <w:t xml:space="preserve">Punto de Control 3. Seguimiento de Cambios en los modelos</w:t>
      </w:r>
    </w:p>
    <w:p>
      <w:pPr>
        <w:pStyle w:val="FirstParagraph"/>
      </w:pPr>
      <w:r>
        <w:t xml:space="preserve">El seguimiento se los cambios consiste en la vertificación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ctura para el FNA. Los puntos de control van dirigidos principalmente a trata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arquitctura para el FNA. Los puntos de control van dirigidos principalmente a trata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2023-07-21T02:03:13Z</dcterms:created>
  <dcterms:modified xsi:type="dcterms:W3CDTF">2023-07-21T02:03:13Z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