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1.93550d2</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Compact"/>
      </w:pPr>
      <w:r>
        <w:t xml:space="preserve">Dado los niveles de complejidad que el FNA ha alcanzado y por los riesgos tecnológico que contraen las partes analizadas en la Fase 1 de este diagnóstico (…)</w:t>
      </w:r>
    </w:p>
    <w:p>
      <w:pPr>
        <w:numPr>
          <w:ilvl w:val="0"/>
          <w:numId w:val="1001"/>
        </w:numPr>
        <w:pStyle w:val="Compact"/>
      </w:pPr>
      <w:r>
        <w:t xml:space="preserve">De las problemáticas encontradas en la Fase 1 del presente diagnóstico, (…))explícitamente a las que incrementan la complejidad de las soluciones tecnológicas y de software del FNA,</w:t>
      </w:r>
      <w:r>
        <w:t xml:space="preserve"> </w:t>
      </w:r>
      <w:r>
        <w:rPr>
          <w:iCs/>
          <w:i/>
        </w:rPr>
        <w:t xml:space="preserve">como lo es el manejo de dependencias de los servicios SOA del Fondo</w:t>
      </w:r>
      <w:r>
        <w:t xml:space="preserve">. Es muy conocido que esta condición es la causa de la mayoría de los sobreesfuerzos en los cambios y de las dificultades a la hora de predecir su impacto.</w:t>
      </w:r>
    </w:p>
    <w:p>
      <w:pPr>
        <w:numPr>
          <w:ilvl w:val="0"/>
          <w:numId w:val="1001"/>
        </w:numPr>
        <w:pStyle w:val="Compact"/>
      </w:pPr>
      <w: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30"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1dd6bcb1-a92e-4252-8379-ffdc85db17ab"/>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bookmarkStart w:id="27" w:name="fun01.-centralizar"/>
    <w:p>
      <w:pPr>
        <w:pStyle w:val="Ttulo3"/>
      </w:pPr>
      <w:r>
        <w:t xml:space="preserve">FUN01. Centralizar</w:t>
      </w:r>
    </w:p>
    <w:p>
      <w:pPr>
        <w:pStyle w:val="FirstParagraph"/>
      </w:pPr>
      <w:r>
        <w:t xml:space="preserve">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bookmarkEnd w:id="27"/>
    <w:bookmarkStart w:id="28" w:name="fun02.-diagnosticar-solución-modelar"/>
    <w:p>
      <w:pPr>
        <w:pStyle w:val="Ttulo3"/>
      </w:pPr>
      <w:r>
        <w:t xml:space="preserve">FUN02. Diagnosticar / Solución (modelar)</w:t>
      </w:r>
    </w:p>
    <w:p>
      <w:pPr>
        <w:pStyle w:val="FirstParagraph"/>
      </w:pPr>
      <w:r>
        <w:t xml:space="preserve">La función de diagnósticar y modelar una solución es la función central de esta oficina de arquitectura en el FNA. Esto se debe a que todos los resultados que la oficina produce están basados en modelos, y en hechos objetivos, alejándose de la habitual intuición y el juicio apresurado.</w:t>
      </w:r>
    </w:p>
    <w:bookmarkEnd w:id="28"/>
    <w:bookmarkStart w:id="29" w:name="fun03.-distribuir-compartir"/>
    <w:p>
      <w:pPr>
        <w:pStyle w:val="Ttulo3"/>
      </w:pPr>
      <w:r>
        <w:t xml:space="preserve">FUN03. Distribuir (compartir)</w:t>
      </w:r>
    </w:p>
    <w:p>
      <w:pPr>
        <w:pStyle w:val="FirstParagraph"/>
      </w:pPr>
      <w:r>
        <w:t xml:space="preserve">La función de distribuir, que equivale a la función de compartir contenidos, es la gestión de las entrega de los productos de trabajo, resultados y contenidos producidos por las funciones anteriores.</w:t>
      </w:r>
    </w:p>
    <w:p>
      <w:pPr>
        <w:pStyle w:val="Textoindependiente"/>
      </w:pPr>
    </w:p>
    <w:bookmarkEnd w:id="29"/>
    <w:bookmarkEnd w:id="30"/>
    <w:bookmarkEnd w:id="31"/>
    <w:bookmarkStart w:id="42" w:name="X0518fec7b45c7879917cf27723e9702132f2754"/>
    <w:p>
      <w:pPr>
        <w:pStyle w:val="Ttulo1"/>
      </w:pPr>
      <w:r>
        <w:t xml:space="preserve">Responsabilidades de la Oficina de Arquitectura</w:t>
      </w:r>
    </w:p>
    <w:bookmarkStart w:id="36"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2"/>
        </w:numPr>
        <w:pStyle w:val="Compact"/>
      </w:pPr>
      <w:r>
        <w:t xml:space="preserve">RESPC01. Vigilancia de alineación negocio-arquitectura</w:t>
      </w:r>
    </w:p>
    <w:p>
      <w:pPr>
        <w:numPr>
          <w:ilvl w:val="0"/>
          <w:numId w:val="1002"/>
        </w:numPr>
        <w:pStyle w:val="Compact"/>
      </w:pPr>
      <w:r>
        <w:t xml:space="preserve">RESPC02. Equilibrio arquitectura y procesos SOA</w:t>
      </w:r>
    </w:p>
    <w:p>
      <w:pPr>
        <w:numPr>
          <w:ilvl w:val="0"/>
          <w:numId w:val="1002"/>
        </w:numPr>
        <w:pStyle w:val="Compact"/>
      </w:pPr>
      <w:r>
        <w:t xml:space="preserve">RESPC03. Supervisión de efectividad y factibilidad SOA</w:t>
      </w:r>
    </w:p>
    <w:p>
      <w:pPr>
        <w:numPr>
          <w:ilvl w:val="0"/>
          <w:numId w:val="1002"/>
        </w:numPr>
        <w:pStyle w:val="Compact"/>
      </w:pPr>
      <w:r>
        <w:t xml:space="preserve">RESPC04. Mejora de los índices de efectividad (madurez) SOA</w:t>
      </w:r>
    </w:p>
    <w:p>
      <w:pPr>
        <w:numPr>
          <w:ilvl w:val="0"/>
          <w:numId w:val="1002"/>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c574561a-ce10-4d10-9b8e-71a2c8fb9191"/>
    <w:p>
      <w:pPr>
        <w:pStyle w:val="CaptionedFigure"/>
      </w:pPr>
      <w:bookmarkStart w:id="35" w:name="fig:"/>
      <w:r>
        <w:drawing>
          <wp:inline>
            <wp:extent cx="5600700" cy="4402410"/>
            <wp:effectExtent b="0" l="0" r="0" t="0"/>
            <wp:docPr descr="Imagen 2: Funciones (responsabilidades) de la Oficina de Arquitectura del FNA. Gobierno SOA, v0.5." title="" id="33" name="Picture"/>
            <a:graphic>
              <a:graphicData uri="http://schemas.openxmlformats.org/drawingml/2006/picture">
                <pic:pic>
                  <pic:nvPicPr>
                    <pic:cNvPr descr="images/responsabilidadgob.png" id="34" name="Picture"/>
                    <pic:cNvPicPr>
                      <a:picLocks noChangeArrowheads="1" noChangeAspect="1"/>
                    </pic:cNvPicPr>
                  </pic:nvPicPr>
                  <pic:blipFill>
                    <a:blip r:embed="rId32"/>
                    <a:stretch>
                      <a:fillRect/>
                    </a:stretch>
                  </pic:blipFill>
                  <pic:spPr bwMode="auto">
                    <a:xfrm>
                      <a:off x="0" y="0"/>
                      <a:ext cx="5600700" cy="4402410"/>
                    </a:xfrm>
                    <a:prstGeom prst="rect">
                      <a:avLst/>
                    </a:prstGeom>
                    <a:noFill/>
                    <a:ln w="9525">
                      <a:noFill/>
                      <a:headEnd/>
                      <a:tailEnd/>
                    </a:ln>
                  </pic:spPr>
                </pic:pic>
              </a:graphicData>
            </a:graphic>
          </wp:inline>
        </w:drawing>
      </w:r>
      <w:bookmarkEnd w:id="35"/>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6"/>
    <w:bookmarkStart w:id="37" w:name="X9a4995a2dce7dd649f71e6943a0b2610c978b6f"/>
    <w:p>
      <w:pPr>
        <w:pStyle w:val="Ttulo2"/>
      </w:pPr>
      <w:r>
        <w:t xml:space="preserve">Vigilancia de alineación negocio-arquitectura</w:t>
      </w:r>
    </w:p>
    <w:bookmarkEnd w:id="37"/>
    <w:bookmarkStart w:id="38" w:name="equilibrio-arquitectura-y-procesos-soa"/>
    <w:p>
      <w:pPr>
        <w:pStyle w:val="Ttulo2"/>
      </w:pPr>
      <w:r>
        <w:t xml:space="preserve">Equilibrio arquitectura y procesos SOA</w:t>
      </w:r>
    </w:p>
    <w:bookmarkEnd w:id="38"/>
    <w:bookmarkStart w:id="39" w:name="X9e585d85ac198fb4fa428defd3c13593f667a0e"/>
    <w:p>
      <w:pPr>
        <w:pStyle w:val="Ttulo2"/>
      </w:pPr>
      <w:r>
        <w:t xml:space="preserve">Supervisión de efectividad y factibilidad SOA</w:t>
      </w:r>
    </w:p>
    <w:bookmarkEnd w:id="39"/>
    <w:bookmarkStart w:id="40" w:name="Xcf3fb5954575e9f517c883c7c5b2a445b0eccea"/>
    <w:p>
      <w:pPr>
        <w:pStyle w:val="Ttulo2"/>
      </w:pPr>
      <w:r>
        <w:t xml:space="preserve">Mejora de los índices de efectividad (madurez) SOA</w:t>
      </w:r>
    </w:p>
    <w:bookmarkEnd w:id="40"/>
    <w:bookmarkStart w:id="41" w:name="Xc1322487bb449403080f53ca37d5f186008267f"/>
    <w:p>
      <w:pPr>
        <w:pStyle w:val="Ttulo2"/>
      </w:pPr>
      <w:r>
        <w:t xml:space="preserve">Consideraciones para la puesta en marcha del gobierno SOA en el FNA</w:t>
      </w:r>
    </w:p>
    <w:p>
      <w:pPr>
        <w:pStyle w:val="FirstParagraph"/>
      </w:pPr>
    </w:p>
    <w:bookmarkEnd w:id="41"/>
    <w:bookmarkEnd w:id="42"/>
    <w:bookmarkStart w:id="47" w:name="X67abd20a76571bb02b16b680bb41d18952f9118"/>
    <w:p>
      <w:pPr>
        <w:pStyle w:val="Ttulo1"/>
      </w:pPr>
      <w:r>
        <w:t xml:space="preserve">Roles y Responsabilidades de la Oficina de Arquitectura</w:t>
      </w:r>
    </w:p>
    <w:bookmarkStart w:id="46"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3"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3"/>
    <w:bookmarkEnd w:id="0"/>
    <w:p>
      <w:pPr>
        <w:pStyle w:val="Textoindependiente"/>
      </w:pPr>
    </w:p>
    <w:bookmarkStart w:id="0" w:name="tbl:ptexigidos-id"/>
    <w:bookmarkStart w:id="44"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4"/>
    <w:bookmarkEnd w:id="0"/>
    <w:bookmarkStart w:id="0" w:name="tbl:accexigidos-id"/>
    <w:bookmarkStart w:id="45"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5"/>
    <w:bookmarkEnd w:id="0"/>
    <w:p>
      <w:pPr>
        <w:pStyle w:val="Textoindependiente"/>
      </w:pPr>
    </w:p>
    <w:bookmarkEnd w:id="46"/>
    <w:bookmarkEnd w:id="4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2023-07-24T13:26:15Z</dcterms:created>
  <dcterms:modified xsi:type="dcterms:W3CDTF">2023-07-24T13:26:15Z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