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3607528d-e450-4b13-9778-435792d397a8"/>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23b1023f-cfa9-4ca7-8271-99053b93c4a6"/>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bookmarkEnd w:id="37"/>
    <w:bookmarkEnd w:id="38"/>
    <w:bookmarkStart w:id="39" w:name="X67abd20a76571bb02b16b680bb41d18952f9118"/>
    <w:p>
      <w:pPr>
        <w:pStyle w:val="Ttulo1"/>
      </w:pPr>
      <w:r>
        <w:t xml:space="preserve">Roles y Responsabilidades de la Oficina de Arquitectura</w:t>
      </w:r>
    </w:p>
    <w:p>
      <w:pPr>
        <w:pStyle w:val="FirstParagraph"/>
      </w:pPr>
      <w:r>
        <w:t xml:space="preserve">Partimos del modelo de gobierno, versión 0.5.</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2023-06-24T18:44:59Z</dcterms:created>
  <dcterms:modified xsi:type="dcterms:W3CDTF">2023-06-24T18:44:59Z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