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1.cb0b40b del 26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traídos al contexto del FNA son los recursos de capital humano y la manera cómo deben operar. Este proceso adaptado al FNA busca alcanzar los objetivos SOA determinados por este diagnóstico. (ver imagen abajo)</w:t>
      </w:r>
    </w:p>
    <w:bookmarkStart w:id="0" w:name="fig:proceso-gob.png"/>
    <w:p>
      <w:pPr>
        <w:pStyle w:val="CaptionedFigure"/>
      </w:pPr>
      <w:bookmarkStart w:id="25" w:name="fig:proceso-gob.pn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implementación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Xda6b7a9458bcc911a920c1765e770a690b7bc19"/>
    <w:p>
      <w:pPr>
        <w:pStyle w:val="Ttulo2"/>
      </w:pPr>
      <w:r>
        <w:t xml:space="preserve">Gestión del Cambio e Impacto en las Arquitecturas (incepción)</w:t>
      </w:r>
    </w:p>
    <w:p>
      <w:pPr>
        <w:pStyle w:val="FirstParagraph"/>
      </w:pPr>
      <w:r>
        <w:t xml:space="preserve">La gestión de cambio la definimos como la gestión del alcance del reajuste en la arquitectura, distinto a un cambio en una aplicación, sistema de información, datos o plataforma del FNA. El cambio por gestionar debe ser analizado desde la perspectiva de la arquitectura actual, o en su defecto desde la de la arquitectura candidata. En este sentido, el cambio es descrito en términos del qué, dónde, quién y cómo cambiar la arquitectura SOA del Fondo.</w:t>
      </w:r>
    </w:p>
    <w:p>
      <w:pPr>
        <w:pStyle w:val="Textoindependiente"/>
      </w:pPr>
      <w:r>
        <w:t xml:space="preserve">Una entrada razonable de este paso es la discusión mediante vistas de la potencialidad del cambio (dificultades y beneficios) y las preocupaciones de los interesados, gerentes y dueños de procesos / productos. Es necesario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una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necesarios para aprobar el cambio de la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2023-07-26T20:54:22Z</dcterms:created>
  <dcterms:modified xsi:type="dcterms:W3CDTF">2023-07-26T20:54:22Z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