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1.4a3d916 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por gestionar debe ser analizado desde la perspectiva de la arquitectura actual, o en su defecto desde la de la arquitectura candidata. En este sentido, el cambio es descrito en términos del qué, dónde, quién y cómo cambiar la arquitectura SOA del Fondo.</w:t>
      </w:r>
    </w:p>
    <w:p>
      <w:pPr>
        <w:pStyle w:val="Textoindependiente"/>
      </w:pPr>
      <w:r>
        <w:t xml:space="preserve">Una entrada razonable de este paso es la discusión mediante vistas de la potencialidad del cambio (dificultades y beneficios) y las preocupaciones de los interesados, gerentes y dueños de procesos / productos. Es necesario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una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necesarios para aprobar el cambio de la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2023-07-31T02:26:05Z</dcterms:created>
  <dcterms:modified xsi:type="dcterms:W3CDTF">2023-07-31T02:26:05Z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