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Procedimientos base del modelo de gobierno / oficina de arquitectura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1.7232836 del 21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c4e8bb47f5a3546b0ec3243b310f2d6c4532528"/>
    <w:p>
      <w:pPr>
        <w:pStyle w:val="Ttulo1"/>
      </w:pPr>
      <w:r>
        <w:t xml:space="preserve">Procedimientos del Modelo de Gobierno del FNA</w:t>
      </w:r>
    </w:p>
    <w:p>
      <w:pPr>
        <w:pStyle w:val="FirstParagraph"/>
      </w:pPr>
      <w:r>
        <w:t xml:space="preserve">Por último, el proceso de gobierno SOA es la conjugación de las dos consideraciones anteriores aquí presentadas, el marco de trabajo (acciones y herramientas) y el equipo de trabajo, que traeidos al contexto del FNA son los recursos de capital humano y la manera cómo deben operar. Este proceso adaptado al FNA busca alcanzar los objetivos SOA determinados por este diagnóstico. (ver imagen abajo)</w:t>
      </w:r>
    </w:p>
    <w:bookmarkStart w:id="0" w:name="fig:01136ded-057c-4053-9927-ddabf3009ca3"/>
    <w:p>
      <w:pPr>
        <w:pStyle w:val="CaptionedFigure"/>
      </w:pPr>
      <w:bookmarkStart w:id="25" w:name="fig:"/>
      <w:r>
        <w:drawing>
          <wp:inline>
            <wp:extent cx="5600700" cy="3900354"/>
            <wp:effectExtent b="0" l="0" r="0" t="0"/>
            <wp:docPr descr="Imagen 1: Actividades y relaciones del proceso principal de gobierno SOA para el FNA. Relación con capacidades y objetivos SOA necesarios para el FNA." title="" id="23" name="Picture"/>
            <a:graphic>
              <a:graphicData uri="http://schemas.openxmlformats.org/drawingml/2006/picture">
                <pic:pic>
                  <pic:nvPicPr>
                    <pic:cNvPr descr="images/proceso-gob.png" id="24" name="Picture"/>
                    <pic:cNvPicPr>
                      <a:picLocks noChangeArrowheads="1" noChangeAspect="1"/>
                    </pic:cNvPicPr>
                  </pic:nvPicPr>
                  <pic:blipFill>
                    <a:blip r:embed="rId22"/>
                    <a:stretch>
                      <a:fillRect/>
                    </a:stretch>
                  </pic:blipFill>
                  <pic:spPr bwMode="auto">
                    <a:xfrm>
                      <a:off x="0" y="0"/>
                      <a:ext cx="5600700" cy="3900354"/>
                    </a:xfrm>
                    <a:prstGeom prst="rect">
                      <a:avLst/>
                    </a:prstGeom>
                    <a:noFill/>
                    <a:ln w="9525">
                      <a:noFill/>
                      <a:headEnd/>
                      <a:tailEnd/>
                    </a:ln>
                  </pic:spPr>
                </pic:pic>
              </a:graphicData>
            </a:graphic>
          </wp:inline>
        </w:drawing>
      </w:r>
      <w:bookmarkEnd w:id="25"/>
    </w:p>
    <w:p>
      <w:pPr>
        <w:pStyle w:val="ImageCaption"/>
      </w:pPr>
      <w:r>
        <w:t xml:space="preserve">Imagen 1: Actividades y relaciones del proceso principal de gobierno SOA para el FNA. Relación con capacidades y objetivos SOA necesarios para el FNA.</w:t>
      </w:r>
    </w:p>
    <w:bookmarkEnd w:id="0"/>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r>
        <w:t xml:space="preserve">Una vista de conjunto pone en perspectiva el rol de los procesos de la oficina de arquitectura frente a las capacidades que estos soportan, y los objetivos a los que propende y que se sostienen en las capacidades.</w:t>
      </w:r>
    </w:p>
    <w:p>
      <w:pPr>
        <w:pStyle w:val="Textoindependiente"/>
      </w:pPr>
      <w:r>
        <w:rPr>
          <w:iCs/>
          <w:i/>
        </w:rPr>
        <w:t xml:space="preserve">Fuente: elaboración propia.</w:t>
      </w:r>
    </w:p>
    <w:p>
      <w:pPr>
        <w:pStyle w:val="Textoindependiente"/>
      </w:pPr>
    </w:p>
    <w:bookmarkStart w:id="26" w:name="gestión-del-cambio-e-impacto-incepción"/>
    <w:p>
      <w:pPr>
        <w:pStyle w:val="Ttulo2"/>
      </w:pPr>
      <w:r>
        <w:t xml:space="preserve">Gestión del cambio e impacto (incepción)</w:t>
      </w:r>
    </w:p>
    <w:p>
      <w:pPr>
        <w:pStyle w:val="FirstParagraph"/>
      </w:pPr>
      <w:r>
        <w:t xml:space="preserve">Es la definición del alcance del reajuste en la arquitectura, distinto a un cambio en una aplicación, sistema de información, datos o plataforma del FNA. el cambio a gestionar debe ser analizado desde la perspectiva de la arquitectura actual o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bookmarkEnd w:id="26"/>
    <w:bookmarkStart w:id="27" w:name="evaluación-y-alistamiento-madurez"/>
    <w:p>
      <w:pPr>
        <w:pStyle w:val="Ttulo2"/>
      </w:pPr>
      <w:r>
        <w:t xml:space="preserve">Evaluación y alistamiento (madurez)</w:t>
      </w:r>
    </w:p>
    <w:p>
      <w:pPr>
        <w:pStyle w:val="FirstParagraph"/>
      </w:pPr>
      <w:r>
        <w:t xml:space="preserve">El proceso de alistamiento, devenido de TOGAF, y adaptado al contexto del FNA, no es más que listar los requisitos de información y hechos neesarios para aprobar el cambio de las arquitectura del Fondo.</w: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cp:keywords/>
  <dcterms:created xsi:type="dcterms:W3CDTF">2023-06-21T18:22:11Z</dcterms:created>
  <dcterms:modified xsi:type="dcterms:W3CDTF">2023-06-21T18:22:11Z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