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1.b1afa8d del 14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c3f3c564-f1f7-4a1f-9846-9fd474791ded"/>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Xda6b7a9458bcc911a920c1765e770a690b7bc19"/>
    <w:p>
      <w:pPr>
        <w:pStyle w:val="Ttulo2"/>
      </w:pPr>
      <w:r>
        <w:t xml:space="preserve">Gestión del Cambio e Impacto en las Arquitecturas (incepción)</w:t>
      </w:r>
    </w:p>
    <w:p>
      <w:pPr>
        <w:pStyle w:val="FirstParagraph"/>
      </w:pPr>
      <w:r>
        <w:t xml:space="preserve">La gestión de cambio la definimos como la gestión del alcance del reajuste en la arquitectura, distinto a un cambio en una aplicación, sistema de información, datos o plataforma del FNA. El cambio a gestionar debe ser analizado desde la perspectiva de la arquitectura actual, o en su defecto desde la de la arquitectua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2023-07-14T18:15:52Z</dcterms:created>
  <dcterms:modified xsi:type="dcterms:W3CDTF">2023-07-14T18:15:52Z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