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1.da3a78a</w:t>
            </w:r>
            <w:r>
              <w:t xml:space="preserve"> </w:t>
            </w:r>
            <w:r>
              <w:t xml:space="preserve">del 13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r>
              <w:t xml:space="preserve">;</w:t>
            </w:r>
            <w:r>
              <w:t xml:space="preserve"> </w:t>
            </w:r>
            <w:hyperlink r:id="rId21">
              <w:r>
                <w:rPr>
                  <w:rStyle w:val="Hipervnculo"/>
                </w:rPr>
                <w:t xml:space="preserve">N003a. Procesos de Negocio FNA</w:t>
              </w:r>
            </w:hyperlink>
          </w:p>
        </w:tc>
      </w:tr>
    </w:tbl>
    <w:p>
      <w:pPr>
        <w:pStyle w:val="Textoindependiente"/>
      </w:pPr>
    </w:p>
    <w:bookmarkStart w:id="23" w:name="antecedentes-del-gobierno-soa-del-fna"/>
    <w:p>
      <w:pPr>
        <w:pStyle w:val="Ttulo2"/>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2b9097e89ebc21eed7a76907afce355aa4a3a81"/>
    <w:p>
      <w:pPr>
        <w:pStyle w:val="Ttulo2"/>
      </w:pPr>
      <w:r>
        <w:t xml:space="preserve">Modelo de Gobierno SOA del FNA: Actores, Flujos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queda ahí. Se extiende a actores, a interesados, a usuarios y entidades relacionados con aquellas partes de la arquitectura del FNA.</w:t>
      </w:r>
    </w:p>
    <w:p>
      <w:pPr>
        <w:pStyle w:val="Textoindependiente"/>
      </w:pPr>
      <w:r>
        <w:t xml:space="preserve">A cotinuación presentamos el modelo de gobierno para el FNA, primera edición, versión 0.1.</w:t>
      </w:r>
    </w:p>
    <w:bookmarkEnd w:id="25"/>
    <w:bookmarkStart w:id="30" w:name="X37dedd9531ba7707d053a034ec51711cb867837"/>
    <w:p>
      <w:pPr>
        <w:pStyle w:val="Ttulo2"/>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4d1e66a6-1c8e-4487-9d13-93fa3d55ae3c"/>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30"/>
    <w:bookmarkStart w:id="36" w:name="Xbac5be9f4e7a7a0cd7ad63fe735a7a0dd0b03b1"/>
    <w:p>
      <w:pPr>
        <w:pStyle w:val="Ttulo2"/>
      </w:pPr>
      <w:r>
        <w:t xml:space="preserve">Modelo de Gobierno SOA dek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31">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125a47f2-bf12-4781-95b8-f37c9069e6a8"/>
    <w:p>
      <w:pPr>
        <w:pStyle w:val="CaptionedFigure"/>
      </w:pPr>
      <w:bookmarkStart w:id="35" w:name="fig:"/>
      <w:r>
        <w:drawing>
          <wp:inline>
            <wp:extent cx="5600700" cy="3879326"/>
            <wp:effectExtent b="0" l="0" r="0" t="0"/>
            <wp:docPr descr="Imagen 2: Versión 0.5 del Modelo de Gobierno del FNA." title="" id="33" name="Picture"/>
            <a:graphic>
              <a:graphicData uri="http://schemas.openxmlformats.org/drawingml/2006/picture">
                <pic:pic>
                  <pic:nvPicPr>
                    <pic:cNvPr descr="images/modelogob05.png" id="34" name="Picture"/>
                    <pic:cNvPicPr>
                      <a:picLocks noChangeArrowheads="1" noChangeAspect="1"/>
                    </pic:cNvPicPr>
                  </pic:nvPicPr>
                  <pic:blipFill>
                    <a:blip r:embed="rId32"/>
                    <a:stretch>
                      <a:fillRect/>
                    </a:stretch>
                  </pic:blipFill>
                  <pic:spPr bwMode="auto">
                    <a:xfrm>
                      <a:off x="0" y="0"/>
                      <a:ext cx="5600700" cy="3879326"/>
                    </a:xfrm>
                    <a:prstGeom prst="rect">
                      <a:avLst/>
                    </a:prstGeom>
                    <a:noFill/>
                    <a:ln w="9525">
                      <a:noFill/>
                      <a:headEnd/>
                      <a:tailEnd/>
                    </a:ln>
                  </pic:spPr>
                </pic:pic>
              </a:graphicData>
            </a:graphic>
          </wp:inline>
        </w:drawing>
      </w:r>
      <w:bookmarkEnd w:id="35"/>
    </w:p>
    <w:p>
      <w:pPr>
        <w:pStyle w:val="ImageCaption"/>
      </w:pPr>
      <w:r>
        <w:t xml:space="preserve">Imagen 2: Versión 0.5 del Modelo de Gobierno del FNA.</w:t>
      </w:r>
    </w:p>
    <w:bookmarkEnd w:id="0"/>
    <w:p>
      <w:pPr>
        <w:pStyle w:val="Textoindependiente"/>
      </w:pPr>
      <w:r>
        <w:rPr>
          <w:iCs/>
          <w:i/>
        </w:rPr>
        <w:t xml:space="preserve">Fuente: Elaboración propia.</w:t>
      </w:r>
    </w:p>
    <w:p>
      <w:pPr>
        <w:pStyle w:val="Textoindependiente"/>
      </w:pPr>
    </w:p>
    <w:p>
      <w:pPr>
        <w:pStyle w:val="Textoindependiente"/>
      </w:pPr>
      <w:r>
        <w:t xml:space="preserve">Susceptibilidades de gobierno:</w:t>
      </w:r>
      <w:r>
        <w:t xml:space="preserve"> </w:t>
      </w:r>
      <w:r>
        <w:t xml:space="preserve">1. Debilidad en la Completitud de los CU</w:t>
      </w:r>
      <w:r>
        <w:t xml:space="preserve"> </w:t>
      </w:r>
      <w:r>
        <w:t xml:space="preserve">1. Herramientas y Métodos de QA relacionados con sistemas distribuidos y QA​</w:t>
      </w:r>
      <w:r>
        <w:t xml:space="preserve"> </w:t>
      </w:r>
      <w:r>
        <w:t xml:space="preserve">1. Normalización y fortalecimiento de los ambientes QA ​</w:t>
      </w:r>
      <w:r>
        <w:t xml:space="preserve"> </w:t>
      </w:r>
      <w:r>
        <w:t xml:space="preserve">1. Gestión del diseño y arquitecturas: categorización de complejidad​</w:t>
      </w:r>
      <w:r>
        <w:t xml:space="preserve"> </w:t>
      </w:r>
      <w:r>
        <w:t xml:space="preserve">1. Correspondencia complejidad - diseño</w:t>
      </w:r>
      <w:r>
        <w:t xml:space="preserve"> </w:t>
      </w:r>
      <w:r>
        <w:t xml:space="preserve">1. Débil (o inexistente) procedimiento de evaluación de inversión​</w:t>
      </w:r>
      <w:r>
        <w:t xml:space="preserve"> </w:t>
      </w:r>
      <w:r>
        <w:t xml:space="preserve">1. Débil (o inexistente) formalidad para el cálculo de eficacia un inversión​ TI, proveedores</w:t>
      </w:r>
      <w:r>
        <w:t xml:space="preserve"> </w:t>
      </w:r>
      <w:r>
        <w:t xml:space="preserve">1. Normnalizar registro de resultados de las entregas de proveedores​ (confiabilidad)</w:t>
      </w:r>
      <w:r>
        <w:t xml:space="preserve"> </w:t>
      </w:r>
      <w:r>
        <w:t xml:space="preserve">1. Asignación de responsables de gestión de las inversiones de TI</w:t>
      </w:r>
    </w:p>
    <w:p>
      <w:pPr>
        <w:pStyle w:val="SourceCode"/>
      </w:pPr>
      <w:r>
        <w:rPr>
          <w:rStyle w:val="VerbatimChar"/>
        </w:rPr>
        <w:t xml:space="preserve">Equilibrio arquitectura y procesos SOA</w:t>
      </w:r>
      <w:r>
        <w:br/>
      </w:r>
      <w:r>
        <w:rPr>
          <w:rStyle w:val="VerbatimChar"/>
        </w:rPr>
        <w:t xml:space="preserve">Supervisión de efectividad y factibilidad SOA</w:t>
      </w:r>
      <w:r>
        <w:br/>
      </w:r>
      <w:r>
        <w:rPr>
          <w:rStyle w:val="VerbatimChar"/>
        </w:rPr>
        <w:t xml:space="preserve">Mejora de los índices de efectividad (madurez) SOA</w:t>
      </w:r>
      <w:r>
        <w:br/>
      </w:r>
      <w:r>
        <w:rPr>
          <w:rStyle w:val="VerbatimChar"/>
        </w:rPr>
        <w:t xml:space="preserve">Consideraciones para la puesta en marcha del gobierno SOA en el FNA</w:t>
      </w:r>
    </w:p>
    <w:bookmarkEnd w:id="3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2023-06-13T05:30:32Z</dcterms:created>
  <dcterms:modified xsi:type="dcterms:W3CDTF">2023-06-13T05:30:32Z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