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1.72ec6de del 12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Basado en los resultados de la consultoría E-Service, Fase I, 2022 (ver</w:t>
      </w:r>
      <w:r>
        <w:t xml:space="preserve"> </w:t>
      </w:r>
      <w:hyperlink r:id="rId22">
        <w:r>
          <w:rPr>
            <w:rStyle w:val="Hipervnculo"/>
          </w:rPr>
          <w:t xml:space="preserve">Resultados E-Service, Fase I</w:t>
        </w:r>
      </w:hyperlink>
      <w:r>
        <w:t xml:space="preserve">), el FNA ha establecido como pilar tecnológico la implementación obligatoria del Gobierno SOA,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parte de un centro determinado por el alcance de este proyecto. El centro del proyecto es las partes e ítems seleccionadas de la arquitectura de software y de servicios del FNA (ver vista de contextual, segmento de la empresa,</w:t>
      </w:r>
      <w:r>
        <w:t xml:space="preserve"> </w:t>
      </w:r>
      <w:hyperlink r:id="rId24">
        <w:r>
          <w:rPr>
            <w:rStyle w:val="Hipervnculo"/>
          </w:rPr>
          <w:t xml:space="preserve">PR01. E-Service, Fase II</w:t>
        </w:r>
      </w:hyperlink>
      <w:r>
        <w:t xml:space="preserve">). Desde la vista de segmento del FNA, el impacto de este gobierno , objeto del proyecto, se extiende a actores principales, interesados, usuarios y entidades relacionados con aquellas partes de la arquitectura del FNA.</w:t>
      </w: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2023-06-12T15:22:13Z</dcterms:created>
  <dcterms:modified xsi:type="dcterms:W3CDTF">2023-06-12T15:22:13Z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