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1.5e8de0a</w:t>
            </w:r>
            <w:r>
              <w:t xml:space="preserve"> </w:t>
            </w:r>
            <w:r>
              <w:t xml:space="preserve">del 13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Funciones del Gobierno SOA del FNA</w:t>
      </w:r>
      <w:r>
        <w:t xml:space="preserve"> </w:t>
      </w:r>
      <w:r>
        <w:t xml:space="preserve">Equilibrio arquitectura y procesos SOA</w:t>
      </w:r>
      <w:r>
        <w:t xml:space="preserve"> </w:t>
      </w:r>
      <w:r>
        <w:t xml:space="preserve">Supervisión de efectividad y factibilidad SOA</w:t>
      </w:r>
      <w:r>
        <w:t xml:space="preserve"> </w:t>
      </w:r>
      <w:r>
        <w:t xml:space="preserve">Mejora de los índices de efectividad (madurez) SOA</w:t>
      </w:r>
      <w:r>
        <w:t xml:space="preserve"> </w:t>
      </w:r>
      <w:r>
        <w:t xml:space="preserve">Consideraciones para la puesta en marcha del gobierno SOA en el FNA</w:t>
      </w:r>
    </w:p>
    <w:bookmarkStart w:id="25" w:name="X7166a6812353987f8321804b0fe21bd8b239996"/>
    <w:p>
      <w:pPr>
        <w:pStyle w:val="Ttulo3"/>
      </w:pPr>
      <w:r>
        <w:t xml:space="preserve">Definición de Objetivos y Capacidades del Gobierno SOA</w:t>
      </w:r>
    </w:p>
    <w:bookmarkStart w:id="24" w:name="Xa26f50d9d2dc49753c1803d09efa61b9a7ca4e1"/>
    <w:p>
      <w:pPr>
        <w:pStyle w:val="Ttulo4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2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bookmarkStart w:id="23" w:name="niveles-de-riesgo-técnico-para-del-fna"/>
    <w:p>
      <w:pPr>
        <w:pStyle w:val="Ttulo5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p>
      <w:pPr>
        <w:pStyle w:val="Textoindependiente"/>
      </w:pPr>
      <w:r>
        <w:t xml:space="preserve">Hacer seguimiento a inversión tecnológica, provedores y colaboración con externos; evaluar y constatar la implementación de soluciones FNA, la cual podría limitarse a servicios SOA; controlar la adopción de nuevos diseños, nuevos marcos de trabajo, librerías o componentes de terceros.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R1. Riesgo de agilidad limitada (ver imagen 1)</w:t>
      </w:r>
      <w:r>
        <w:t xml:space="preserve"> </w:t>
      </w:r>
      <w:r>
        <w:t xml:space="preserve">R2. Riesgo de baja orquestación SOA (ver imagen 2a y 2b)</w:t>
      </w:r>
      <w:r>
        <w:t xml:space="preserve"> </w:t>
      </w:r>
      <w:r>
        <w:t xml:space="preserve">R3. Riesgo de crecimiento de dependencias entre servicios SOA</w:t>
      </w:r>
      <w:r>
        <w:t xml:space="preserve"> </w:t>
      </w:r>
      <w:r>
        <w:t xml:space="preserve">R4. Riesgo de crecimiento de adaptadores particulares –opuesto al estándar– (ver imagen 3)</w:t>
      </w:r>
      <w:r>
        <w:t xml:space="preserve"> </w:t>
      </w:r>
      <w:r>
        <w:t xml:space="preserve">R5. Riesgo de baja reutilización de servicios SOA</w:t>
      </w:r>
      <w:r>
        <w:t xml:space="preserve"> </w:t>
      </w:r>
      <w:r>
        <w:t xml:space="preserve">R6. Riesgo de permanencia de aplicaciones silos</w:t>
      </w:r>
      <w:r>
        <w:t xml:space="preserve"> </w:t>
      </w:r>
      <w:r>
        <w:t xml:space="preserve">R7. Riesgo de falta de trazabilidad para la evolución e implementación de los servicios SOA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2023-06-13T11:42:48Z</dcterms:created>
  <dcterms:modified xsi:type="dcterms:W3CDTF">2023-06-13T11:42:48Z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