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7166a6812353987f8321804b0fe21bd8b239996"/>
    <w:p>
      <w:pPr>
        <w:pStyle w:val="Ttulo3"/>
      </w:pPr>
      <w:r>
        <w:t xml:space="preserve">Definición de Objetivos y Capacidades del Gobierno SOA</w:t>
      </w:r>
    </w:p>
    <w:bookmarkStart w:id="22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0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bookmarkStart w:id="21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p>
      <w:pPr>
        <w:pStyle w:val="Textoindependiente"/>
      </w:pPr>
      <w:r>
        <w:t xml:space="preserve">Hacer seguimiento a inversión tecnológica, provedores y colaboración con externos; evaluar y constatar la implementación de soluciones FNA, la cual podría limitarse a servicios SOA; controlar la adopción de nuevos diseños, nuevos marcos de trabajo, librerías o componentes de terceros.</w:t>
      </w:r>
    </w:p>
    <w:bookmarkEnd w:id="21"/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2023-06-13T01:38:16Z</dcterms:created>
  <dcterms:modified xsi:type="dcterms:W3CDTF">2023-06-13T01:38:16Z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