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02aa4bbda48fdd5ed710b91b8bfc8b6cb34e0c9"/>
    <w:p>
      <w:pPr>
        <w:pStyle w:val="Ttulo4"/>
      </w:pPr>
      <w:r>
        <w:t xml:space="preserve">G-OBJS2. Vigilar la complejidad e impacto en la arquitectura SOA del Fondo</w:t>
      </w:r>
    </w:p>
    <w:p>
      <w:pPr>
        <w:pStyle w:val="FirstParagraph"/>
      </w:pPr>
      <w:r>
        <w:t xml:space="preserve">Bien sea por medio de las revisiones de diseño, el comité de arquitectura, o por el desarrollo y distribución de un catálogo de soluciones preconstruídas que alivie y guíe a las fábricas y desarrolladores que trabajan para la empresa.</w:t>
      </w:r>
    </w:p>
    <w:bookmarkEnd w:id="20"/>
    <w:bookmarkStart w:id="21" w:name="Xe8c9e22486e5061d9553b39a47b277bcccd538f"/>
    <w:p>
      <w:pPr>
        <w:pStyle w:val="Ttulo4"/>
      </w:pPr>
      <w:r>
        <w:t xml:space="preserve">G-OBJ3. Vigilar y perseguir índices de efectividad SOA</w:t>
      </w:r>
    </w:p>
    <w:p>
      <w:pPr>
        <w:pStyle w:val="FirstParagraph"/>
      </w:pPr>
      <w:r>
        <w:t xml:space="preserve">Los índices de efectividad SOA presentes en los análisis de madurez como el realizado en la Fase 1 del diagnóstico presente.</w: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2023-06-13T05:30:31Z</dcterms:created>
  <dcterms:modified xsi:type="dcterms:W3CDTF">2023-06-13T05:30:31Z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