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24 Jul 2023</w:t>
      </w:r>
    </w:p>
    <w:p>
      <w:pPr>
        <w:pStyle w:val="Textodebloque"/>
      </w:pPr>
      <w:r>
        <w:rPr>
          <w:bCs/>
          <w:b/>
        </w:rPr>
        <w:t xml:space="preserve">Versión</w:t>
      </w:r>
      <w:r>
        <w:t xml:space="preserve"> </w:t>
      </w:r>
      <w:r>
        <w:t xml:space="preserve">1.2439bb1</w:t>
      </w:r>
    </w:p>
    <w:p>
      <w:pPr>
        <w:pStyle w:val="FirstParagraph"/>
      </w:pPr>
    </w:p>
    <w:bookmarkStart w:id="28" w:name="X5746cccdc2e974401df3b05ddbd4d36434d5de4"/>
    <w:p>
      <w:pPr>
        <w:pStyle w:val="Ttulo1"/>
      </w:pPr>
      <w:r>
        <w:t xml:space="preserve">Producto 3: PR03. Diseño de los Procesos y Responsabilidades del Comité de Gobierno</w:t>
      </w:r>
    </w:p>
    <w:p>
      <w:pPr>
        <w:pStyle w:val="FirstParagraph"/>
      </w:pPr>
      <w:r>
        <w:t xml:space="preserve">El comité de gobierno del FNA, PR03 de este proyecto, promueve y establece necesaria la participación de la oficina de arquitectura del FNA (LOAF) con otras áreas pertinentes del FNA. El Comité está basado en los preceptos y roles del Equipo de Arquitectura Ágil (Disciplined Agile® Architecture DA™). Una condición importante es que el comité de arquitectura no sustituye ni supedita a otros existentes en el FNA, tales como el Comité de Control de Cambios, o los que surgen por demás asuntos tecnológicos. Dentro de este comité de gobierno existen roles permitentes a la arquitectura del FNA. Opcionalmente participarán otros roles externos a la oficina, de otras áreas y vicepresidencias del Fondo, como los líderes y grupos de producto.</w:t>
      </w:r>
    </w:p>
    <w:p>
      <w:pPr>
        <w:pStyle w:val="Textodebloque"/>
      </w:pPr>
      <w:r>
        <w:rPr>
          <w:bCs/>
          <w:b/>
        </w:rPr>
        <w:t xml:space="preserve">Nota 1</w:t>
      </w:r>
      <w:r>
        <w:t xml:space="preserve">: los roles del Comité de Gobierno de Arquitectura no son posiciones dentro del organigrama del FNA.</w:t>
      </w:r>
    </w:p>
    <w:p>
      <w:pPr>
        <w:pStyle w:val="Textodebloque"/>
      </w:pPr>
      <w:r>
        <w:rPr>
          <w:bCs/>
          <w:b/>
        </w:rPr>
        <w:t xml:space="preserve">Nota 2</w:t>
      </w:r>
      <w:r>
        <w:t xml:space="preserve">: los análisis de este producto están dirigidos a cumplir los objetivos del proyecto PRY01, Gobierno SOA: desarrollo, gestión, gobierno de arquitectura y adopción.</w:t>
      </w:r>
    </w:p>
    <w:p>
      <w:pPr>
        <w:pStyle w:val="FirstParagraph"/>
      </w:pPr>
    </w:p>
    <w:bookmarkStart w:id="20" w:name="justificación"/>
    <w:p>
      <w:pPr>
        <w:pStyle w:val="Ttulo2"/>
      </w:pPr>
      <w:r>
        <w:t xml:space="preserve">Justificación</w:t>
      </w:r>
    </w:p>
    <w:p>
      <w:pPr>
        <w:pStyle w:val="FirstParagraph"/>
      </w:pPr>
      <w:r>
        <w:t xml:space="preserve">El Comité de Gobierno de Arquitectura captura y gestiona mediante la bitácora de decisiones de arquitectura del FNA (BDA) las razones, cambios, reformas, transiciones que están detrás de los requerimientos de arquitectura del FNA (flexibilidad, confiabilidad, rendimiento, mantenibilidad). El Comité comunicará y establecerá responsabilidades directas que de las adaptaciones se deriven a fin de proveer el rastro pertinente a los revisores de estas modificaciones determinadas por la oficina de arquitectura y por este. El Comité de Gobierno de Arquitectura del FNA es, por tanto, la instancia donde se dirimen y dirigen los requerimientos de arquitectura de mediano y largo plazo (TOGAF, Architecture Requirement Specification), que muchas veces son del tipo de adaptación o migración a una nueva tecnología exclusivas de las arquitecturas del FNA.</w:t>
      </w:r>
    </w:p>
    <w:bookmarkEnd w:id="20"/>
    <w:bookmarkStart w:id="21" w:name="contenidos"/>
    <w:p>
      <w:pPr>
        <w:pStyle w:val="Ttulo2"/>
      </w:pPr>
      <w:r>
        <w:t xml:space="preserve">Contenidos</w:t>
      </w:r>
    </w:p>
    <w:p>
      <w:pPr>
        <w:numPr>
          <w:ilvl w:val="0"/>
          <w:numId w:val="1001"/>
        </w:numPr>
        <w:pStyle w:val="Compact"/>
      </w:pPr>
      <w:r>
        <w:t xml:space="preserve">Descripción del Comité de Gobierno de Arquitecturas del FNA: ámbitos y alcances del comité</w:t>
      </w:r>
    </w:p>
    <w:p>
      <w:pPr>
        <w:numPr>
          <w:ilvl w:val="0"/>
          <w:numId w:val="1001"/>
        </w:numPr>
        <w:pStyle w:val="Compact"/>
      </w:pPr>
      <w:r>
        <w:t xml:space="preserve">Consideraciones para la puesta en marcha de la bitácora de decisiones de arquitectura</w:t>
      </w:r>
    </w:p>
    <w:p>
      <w:pPr>
        <w:numPr>
          <w:ilvl w:val="0"/>
          <w:numId w:val="1001"/>
        </w:numPr>
        <w:pStyle w:val="Compact"/>
      </w:pPr>
      <w:r>
        <w:t xml:space="preserve">Repositorio y gestión de los requerimientos de arquitectura del FNA (flexibilidad, confiabilidad, rendimiento, mantenibilidad)</w:t>
      </w:r>
    </w:p>
    <w:p>
      <w:pPr>
        <w:numPr>
          <w:ilvl w:val="0"/>
          <w:numId w:val="1001"/>
        </w:numPr>
        <w:pStyle w:val="Compact"/>
      </w:pPr>
      <w:r>
        <w:t xml:space="preserve">Métodos de evaluación de arquitecturas para el FNA</w:t>
      </w:r>
    </w:p>
    <w:p>
      <w:pPr>
        <w:pStyle w:val="FirstParagraph"/>
      </w:pPr>
    </w:p>
    <w:bookmarkEnd w:id="21"/>
    <w:bookmarkStart w:id="22" w:name="criterios-de-aceptación"/>
    <w:p>
      <w:pPr>
        <w:pStyle w:val="Ttulo2"/>
      </w:pPr>
      <w:r>
        <w:t xml:space="preserve">Criterios de Aceptación</w:t>
      </w:r>
    </w:p>
    <w:p>
      <w:pPr>
        <w:numPr>
          <w:ilvl w:val="0"/>
          <w:numId w:val="1002"/>
        </w:numPr>
        <w:pStyle w:val="Compact"/>
      </w:pPr>
      <w:r>
        <w:t xml:space="preserve">Especificaciones de la bitácora de decisiones de arquitectura</w:t>
      </w:r>
    </w:p>
    <w:p>
      <w:pPr>
        <w:numPr>
          <w:ilvl w:val="0"/>
          <w:numId w:val="1002"/>
        </w:numPr>
        <w:pStyle w:val="Compact"/>
      </w:pPr>
      <w:r>
        <w:t xml:space="preserve">Especificaciones de funcionamiento del Comité de Gobierno de Arquitecturas del FNA</w:t>
      </w:r>
    </w:p>
    <w:p>
      <w:pPr>
        <w:numPr>
          <w:ilvl w:val="0"/>
          <w:numId w:val="1002"/>
        </w:numPr>
        <w:pStyle w:val="Compact"/>
      </w:pPr>
      <w:r>
        <w:t xml:space="preserve">Esquema de comunicación y publicación de cambios a las arquitecturas del FNA</w:t>
      </w:r>
    </w:p>
    <w:p>
      <w:pPr>
        <w:pStyle w:val="FirstParagraph"/>
      </w:pPr>
    </w:p>
    <w:bookmarkEnd w:id="22"/>
    <w:bookmarkStart w:id="27" w:name="modelo-de-implementación-del-pry01"/>
    <w:p>
      <w:pPr>
        <w:pStyle w:val="Ttulo2"/>
      </w:pPr>
      <w:r>
        <w:t xml:space="preserve">Modelo de Implementación del PRY01</w:t>
      </w:r>
    </w:p>
    <w:bookmarkStart w:id="0" w:name="fig:947e5213-4c64-4f5e-ac65-6c57135b8fc3"/>
    <w:p>
      <w:pPr>
        <w:pStyle w:val="CaptionedFigure"/>
      </w:pPr>
      <w:bookmarkStart w:id="26" w:name="fig:"/>
      <w:r>
        <w:drawing>
          <wp:inline>
            <wp:extent cx="5600700" cy="4499951"/>
            <wp:effectExtent b="0" l="0" r="0" t="0"/>
            <wp:docPr descr="Imagen 1: Plan de Implementación del Proyecto Hoja de Ruta E-Service FNA, 2023. Abril 2023 a Agosto 2023" title="" id="24" name="Picture"/>
            <a:graphic>
              <a:graphicData uri="http://schemas.openxmlformats.org/drawingml/2006/picture">
                <pic:pic>
                  <pic:nvPicPr>
                    <pic:cNvPr descr="images/pry1gobierno.jpg" id="25" name="Picture"/>
                    <pic:cNvPicPr>
                      <a:picLocks noChangeArrowheads="1" noChangeAspect="1"/>
                    </pic:cNvPicPr>
                  </pic:nvPicPr>
                  <pic:blipFill>
                    <a:blip r:embed="rId23"/>
                    <a:stretch>
                      <a:fillRect/>
                    </a:stretch>
                  </pic:blipFill>
                  <pic:spPr bwMode="auto">
                    <a:xfrm>
                      <a:off x="0" y="0"/>
                      <a:ext cx="5600700" cy="4499951"/>
                    </a:xfrm>
                    <a:prstGeom prst="rect">
                      <a:avLst/>
                    </a:prstGeom>
                    <a:noFill/>
                    <a:ln w="9525">
                      <a:noFill/>
                      <a:headEnd/>
                      <a:tailEnd/>
                    </a:ln>
                  </pic:spPr>
                </pic:pic>
              </a:graphicData>
            </a:graphic>
          </wp:inline>
        </w:drawing>
      </w:r>
      <w:bookmarkEnd w:id="26"/>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jp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2023-07-24T18:01:27Z</dcterms:created>
  <dcterms:modified xsi:type="dcterms:W3CDTF">2023-07-24T18:01:27Z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