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Vista</w:t>
      </w:r>
      <w:r>
        <w:t xml:space="preserve"> </w:t>
      </w:r>
      <w:r>
        <w:t xml:space="preserve">de</w:t>
      </w:r>
      <w:r>
        <w:t xml:space="preserve"> </w:t>
      </w:r>
      <w:r>
        <w:t xml:space="preserve">Contexto</w: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13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1.b8e57e9</w:t>
      </w:r>
    </w:p>
    <w:p>
      <w:pPr>
        <w:pStyle w:val="FirstParagraph"/>
      </w:pPr>
    </w:p>
    <w:bookmarkStart w:id="28" w:name="X5746cccdc2e974401df3b05ddbd4d36434d5de4"/>
    <w:p>
      <w:pPr>
        <w:pStyle w:val="Ttulo1"/>
      </w:pPr>
      <w:r>
        <w:t xml:space="preserve">Producto 3: PR03. Diseño de los Procesos y Responsabilidades del Comité de Gobierno</w:t>
      </w:r>
    </w:p>
    <w:p>
      <w:pPr>
        <w:pStyle w:val="FirstParagraph"/>
      </w:pPr>
      <w:r>
        <w:t xml:space="preserve">El comité de gobierno del FNA, PR03 de este proyecto, establece necesaria la participación de la oficina de arquitectura del FNA (LOAF). Este comite sigue algunos de los preceptos y roles del Equipo de Arquitectura Ágil (Disciplined Agile® Architecture DA™). Este comité no sustituye ni supedita a otros existentes en el FNA, tales como el Comité de Control de Cambios, o los que surgen por demás asuntos tecnológicos. Dentro de este comité de gobierno existen roles permitentes a la arquitectura del FNA. Opcionalmente participarán otros roles, como los líderes y grupos de producto (que pueden venir desde otras vicepresidencias del Fondo).</w:t>
      </w:r>
    </w:p>
    <w:p>
      <w:pPr>
        <w:pStyle w:val="Textodebloque"/>
      </w:pPr>
      <w:r>
        <w:rPr>
          <w:bCs/>
          <w:b/>
        </w:rPr>
        <w:t xml:space="preserve">Nota 1</w:t>
      </w:r>
      <w:r>
        <w:t xml:space="preserve">: los roles del Comité de Gobierno de Arquitectura no son posiciones dentro del organigrama del FNA.</w:t>
      </w:r>
    </w:p>
    <w:p>
      <w:pPr>
        <w:pStyle w:val="Textodebloque"/>
      </w:pPr>
      <w:r>
        <w:rPr>
          <w:bCs/>
          <w:b/>
        </w:rPr>
        <w:t xml:space="preserve">Nota 2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FirstParagraph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Comité de Gobierno de Arquitectura captura y gestiona mediante registro en la bitácora de decisiones de arquitectura del FNA las razones, cambios, reformas, transiciones detrás de los requerimientos de arquitectura del FNA (flexibilidad, confiabilidad, rendimiento, mantenibilidad). Comunicará y establecerá responsabilidades directas que de las adaptaciones se deriven a fin de proveer el rastro pertinente a los revisores de estos modificaciones determinadas por el Comité. El Comité de Gobierno de Arquitectura del FNA es, por tanto, la instancia donde se dirimen y dirigen los requerimientos de arquitectura (TOGAF, Architecture Requirement Specification), muchas veces del tipo adaptación o migración tecnológicas, de mayor profundidad y exclusivas de las arquiteturas del FNA.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operativo del Comité de Gobierno de Arquitecturas del FNA: ámbitos y alcances del comité</w:t>
      </w:r>
    </w:p>
    <w:p>
      <w:pPr>
        <w:numPr>
          <w:ilvl w:val="0"/>
          <w:numId w:val="1001"/>
        </w:numPr>
        <w:pStyle w:val="Compact"/>
      </w:pPr>
      <w:r>
        <w:t xml:space="preserve">Consideraciones para la puesta en marcha de la bitácora de decisiones de arquitectura</w:t>
      </w:r>
    </w:p>
    <w:p>
      <w:pPr>
        <w:numPr>
          <w:ilvl w:val="0"/>
          <w:numId w:val="1001"/>
        </w:numPr>
        <w:pStyle w:val="Compact"/>
      </w:pPr>
      <w:r>
        <w:t xml:space="preserve">Respositorio y gestión de los requerimientos de arquitectura del FNA (flexibilidad, confiabilidad, rendimiento, mantenibilidad)</w:t>
      </w:r>
    </w:p>
    <w:p>
      <w:pPr>
        <w:numPr>
          <w:ilvl w:val="0"/>
          <w:numId w:val="1001"/>
        </w:numPr>
        <w:pStyle w:val="Compact"/>
      </w:pPr>
      <w:r>
        <w:t xml:space="preserve">Métodos de evaluación de arquitecturas para 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Especificaciones de la bitácora de decisiones de arquitectura</w:t>
      </w:r>
    </w:p>
    <w:p>
      <w:pPr>
        <w:numPr>
          <w:ilvl w:val="0"/>
          <w:numId w:val="1002"/>
        </w:numPr>
        <w:pStyle w:val="Compact"/>
      </w:pPr>
      <w:r>
        <w:t xml:space="preserve">Especificaciones de funcionamiento del Comité de Gobierno de Arquitecturas del FNA</w:t>
      </w:r>
    </w:p>
    <w:p>
      <w:pPr>
        <w:numPr>
          <w:ilvl w:val="0"/>
          <w:numId w:val="1002"/>
        </w:numPr>
        <w:pStyle w:val="Compact"/>
      </w:pPr>
      <w:r>
        <w:t xml:space="preserve">Esquema de comunicación y publicación de cambios a las arquitecturas del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192be1ba-58d3-47e9-ae30-37d1b63eb218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Vista de Contexto</dc:title>
  <dc:creator/>
  <cp:keywords/>
  <dcterms:created xsi:type="dcterms:W3CDTF">2023-06-13T13:03:20Z</dcterms:created>
  <dcterms:modified xsi:type="dcterms:W3CDTF">2023-06-13T13:03:20Z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