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21 Jun 2023</w:t>
      </w:r>
    </w:p>
    <w:p>
      <w:pPr>
        <w:pStyle w:val="Textodebloque"/>
      </w:pPr>
      <w:r>
        <w:rPr>
          <w:bCs/>
          <w:b/>
        </w:rPr>
        <w:t xml:space="preserve">Versión</w:t>
      </w:r>
      <w:r>
        <w:t xml:space="preserve"> </w:t>
      </w:r>
      <w:r>
        <w:t xml:space="preserve">1.ae6a38e</w:t>
      </w:r>
    </w:p>
    <w:p>
      <w:pPr>
        <w:pStyle w:val="FirstParagraph"/>
      </w:pPr>
    </w:p>
    <w:bookmarkStart w:id="28"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promueve y establece necesaria la participación de la oficina de arquitectura del FNA (LOAF) con otras áreas pertinentes del FNA. El Comité está basado en los preceptos y roles del Equipo de Arquitectura Ágil (Disciplined Agile® Architecture DA™). Una condición importante es que el comité de arquitctura no sustituye ni supedita a otros existentes en el FNA, tales como el Comité de Control de Cambios, o los que surgen por demás asuntos tecnológicos. Dentro de este comité de gobierno existen roles permitentes a la arquitectura del FNA. Opcionalmente participarán otros roles externos a la oficina, de otras áreas y vicepresidencias del Fondo, como los líderes y grupos de producto.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20" w:name="justificación"/>
    <w:p>
      <w:pPr>
        <w:pStyle w:val="Ttulo2"/>
      </w:pPr>
      <w:r>
        <w:t xml:space="preserve">Justificación</w:t>
      </w:r>
    </w:p>
    <w:p>
      <w:pPr>
        <w:pStyle w:val="FirstParagraph"/>
      </w:pPr>
      <w:r>
        <w:t xml:space="preserve">El Comité de Gobierno de Arquitectura captura y gestiona mediante la bitácora de decisiones de arquitectura del FNA (BDA) las razones, cambios, reformas, transiciones que están detrás de los requerimientos de arquitectura del FNA (flexibilidad, confiabilidad, rendimiento, mantenibilidad). El Comité comunicará y establecerá responsabilidades directas que de las adaptaciones se deriven a fin de proveer el rastro pertinente a los revisores de estos modificaciones determinadas por la oficina de arquitectura y por este. El Comité de Gobierno de Arquitectura del FNA es, por tanto, la instancia donde se dirimen y dirigen los requerimientos de arquitectura de mediano y largo plazo (TOGAF, Architecture Requirement Specification), que muchas veces son del tipo de adaptación o migración a una nueva tecnología exclusivas de las arquiteturas del FNA.</w:t>
      </w:r>
    </w:p>
    <w:bookmarkEnd w:id="20"/>
    <w:bookmarkStart w:id="21" w:name="contenidos"/>
    <w:p>
      <w:pPr>
        <w:pStyle w:val="Ttulo2"/>
      </w:pPr>
      <w:r>
        <w:t xml:space="preserve">Contenidos</w:t>
      </w:r>
    </w:p>
    <w:p>
      <w:pPr>
        <w:numPr>
          <w:ilvl w:val="0"/>
          <w:numId w:val="1001"/>
        </w:numPr>
        <w:pStyle w:val="Compact"/>
      </w:pPr>
      <w:r>
        <w:t xml:space="preserve">Modelo operativo del Comité de Gobierno de Arquitecturas del FNA: ámbitos y alcances del comité</w:t>
      </w:r>
    </w:p>
    <w:p>
      <w:pPr>
        <w:numPr>
          <w:ilvl w:val="0"/>
          <w:numId w:val="1001"/>
        </w:numPr>
        <w:pStyle w:val="Compact"/>
      </w:pPr>
      <w:r>
        <w:t xml:space="preserve">Consideraciones para la puesta en marcha de la bitácora de decisiones de arquitectura</w:t>
      </w:r>
    </w:p>
    <w:p>
      <w:pPr>
        <w:numPr>
          <w:ilvl w:val="0"/>
          <w:numId w:val="1001"/>
        </w:numPr>
        <w:pStyle w:val="Compact"/>
      </w:pPr>
      <w:r>
        <w:t xml:space="preserve">Respositorio y gestión de los requerimientos de arquitectura del FNA (flexibilidad, confiabilidad, rendimiento, mantenibilidad)</w:t>
      </w:r>
    </w:p>
    <w:p>
      <w:pPr>
        <w:numPr>
          <w:ilvl w:val="0"/>
          <w:numId w:val="1001"/>
        </w:numPr>
        <w:pStyle w:val="Compact"/>
      </w:pPr>
      <w:r>
        <w:t xml:space="preserve">Métodos de evaluación de arquitecturas para 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Especificaciones de la bitácora de decisiones de arquitectura</w:t>
      </w:r>
    </w:p>
    <w:p>
      <w:pPr>
        <w:numPr>
          <w:ilvl w:val="0"/>
          <w:numId w:val="1002"/>
        </w:numPr>
        <w:pStyle w:val="Compact"/>
      </w:pPr>
      <w:r>
        <w:t xml:space="preserve">Especificaciones de funcionamiento del Comité de Gobierno de Arquitecturas del FNA</w:t>
      </w:r>
    </w:p>
    <w:p>
      <w:pPr>
        <w:numPr>
          <w:ilvl w:val="0"/>
          <w:numId w:val="1002"/>
        </w:numPr>
        <w:pStyle w:val="Compact"/>
      </w:pPr>
      <w:r>
        <w:t xml:space="preserve">Esquema de comunicación y publicación de cambios a las arquitecturas del FNA</w:t>
      </w:r>
    </w:p>
    <w:p>
      <w:pPr>
        <w:pStyle w:val="FirstParagraph"/>
      </w:pPr>
    </w:p>
    <w:bookmarkEnd w:id="22"/>
    <w:bookmarkStart w:id="27" w:name="modelo-de-implementación-del-pry01"/>
    <w:p>
      <w:pPr>
        <w:pStyle w:val="Ttulo2"/>
      </w:pPr>
      <w:r>
        <w:t xml:space="preserve">Modelo de Implementación del PRY01</w:t>
      </w:r>
    </w:p>
    <w:bookmarkStart w:id="0" w:name="fig:ea615208-273e-44d5-bffa-a309745f51ea"/>
    <w:p>
      <w:pPr>
        <w:pStyle w:val="CaptionedFigure"/>
      </w:pPr>
      <w:bookmarkStart w:id="26" w:name="fig:"/>
      <w:r>
        <w:drawing>
          <wp:inline>
            <wp:extent cx="5600700" cy="4499951"/>
            <wp:effectExtent b="0" l="0" r="0" t="0"/>
            <wp:docPr descr="Imagen 1: Plan de Implementación del Proyecto Hoja de Ruta E-Service FNA, 2023. Abril 2023 a Agosto 2023" title="" id="24" name="Picture"/>
            <a:graphic>
              <a:graphicData uri="http://schemas.openxmlformats.org/drawingml/2006/picture">
                <pic:pic>
                  <pic:nvPicPr>
                    <pic:cNvPr descr="images/pry1gobierno.jpg" id="25" name="Picture"/>
                    <pic:cNvPicPr>
                      <a:picLocks noChangeArrowheads="1" noChangeAspect="1"/>
                    </pic:cNvPicPr>
                  </pic:nvPicPr>
                  <pic:blipFill>
                    <a:blip r:embed="rId23"/>
                    <a:stretch>
                      <a:fillRect/>
                    </a:stretch>
                  </pic:blipFill>
                  <pic:spPr bwMode="auto">
                    <a:xfrm>
                      <a:off x="0" y="0"/>
                      <a:ext cx="5600700" cy="4499951"/>
                    </a:xfrm>
                    <a:prstGeom prst="rect">
                      <a:avLst/>
                    </a:prstGeom>
                    <a:noFill/>
                    <a:ln w="9525">
                      <a:noFill/>
                      <a:headEnd/>
                      <a:tailEnd/>
                    </a:ln>
                  </pic:spPr>
                </pic:pic>
              </a:graphicData>
            </a:graphic>
          </wp:inline>
        </w:drawing>
      </w:r>
      <w:bookmarkEnd w:id="26"/>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2023-06-21T18:07:09Z</dcterms:created>
  <dcterms:modified xsi:type="dcterms:W3CDTF">2023-06-21T18:07:09Z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