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545"/>
        <w:gridCol w:w="6374"/>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1.5c72bcc</w:t>
            </w:r>
            <w:r>
              <w:t xml:space="preserve"> </w:t>
            </w:r>
            <w:r>
              <w:t xml:space="preserve">del 14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el-comité-de-arquitectura-del-fna"/>
    <w:p>
      <w:pPr>
        <w:pStyle w:val="Ttulo1"/>
      </w:pPr>
      <w:r>
        <w:t xml:space="preserve">El Comité de Arquitectura del FNA</w:t>
      </w:r>
    </w:p>
    <w:bookmarkStart w:id="27" w:name="X08075f18359d1477728061def81eac086c395a2"/>
    <w:p>
      <w:pPr>
        <w:pStyle w:val="Ttulo2"/>
      </w:pPr>
      <w:r>
        <w:t xml:space="preserve">Descripción del Comité de Gobierno de Arquitecturas del FNA: ámbitos y alcances del comité</w:t>
      </w:r>
    </w:p>
    <w:p>
      <w:pPr>
        <w:pStyle w:val="FirstParagraph"/>
      </w:pPr>
      <w:r>
        <w:t xml:space="preserve">Otro de los instrumentos en donde se materializa el gobierno SOA, objeto de este proyecto, es el comité de revisión y de trabajos de arquitectura (Comité de Arquitectura del FNA, para abreviar). El comité de arquitectura contribuye al gobierno al realizar tareas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El la siguiente diagrama resumimos la actuación y colaboración del modelo operativo del Comité de Arquitectura.</w:t>
      </w:r>
    </w:p>
    <w:bookmarkStart w:id="0" w:name="fig:b5ab8bfb-b60c-41df-ab40-c6b382b362cc"/>
    <w:p>
      <w:pPr>
        <w:pStyle w:val="CaptionedFigure"/>
      </w:pPr>
      <w:bookmarkStart w:id="25" w:name="fi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posibilidad del Comité acceder a los modelos, a los que evaluará. Así mismo, debe ponder accder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End w:id="27"/>
    <w:bookmarkStart w:id="28"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8"/>
    <w:bookmarkStart w:id="29" w:name="objetivos-específicos-del-caf"/>
    <w:p>
      <w:pPr>
        <w:pStyle w:val="Ttulo2"/>
      </w:pPr>
      <w:r>
        <w:t xml:space="preserve">Objetivos Específicos del CAF</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p>
    <w:p>
      <w:pPr>
        <w:numPr>
          <w:ilvl w:val="0"/>
          <w:numId w:val="1001"/>
        </w:numPr>
        <w:pStyle w:val="Compact"/>
      </w:pPr>
      <w:r>
        <w:t xml:space="preserve">Divulgar el valor empresarial ampliado y elevado de la arquitectura SOA a las áreas relacionadas con TI del FNA</w:t>
      </w:r>
    </w:p>
    <w:p>
      <w:pPr>
        <w:numPr>
          <w:ilvl w:val="0"/>
          <w:numId w:val="1001"/>
        </w:numPr>
        <w:pStyle w:val="Compact"/>
      </w:pPr>
      <w:r>
        <w:t xml:space="preserve">Procurar la visibilidad de las otras áreas del FNA del trabajo de la oficina de arquitectura</w:t>
      </w:r>
    </w:p>
    <w:p>
      <w:pPr>
        <w:pStyle w:val="FirstParagraph"/>
      </w:pPr>
    </w:p>
    <w:bookmarkEnd w:id="29"/>
    <w:bookmarkStart w:id="33"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30"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p>
      <w:pPr>
        <w:pStyle w:val="Textoindependiente"/>
      </w:pPr>
      <w:r>
        <w:t xml:space="preserve">Esta función debe ejecutarse en modalidad eventual: cuando en la llegada de un trabajo de arquitectura, la Oficina determina que requiere una sesión del Comité (CAF) para acordar una solución de carácter impactante para la empresa. Las condiciones de impactante, están relacionadas con los análisis primarios de complejidad, impacto y costo/beneficio descritos en el modelo operativo de este gobierno, objeto del proyecto.</w:t>
      </w:r>
    </w:p>
    <w:bookmarkEnd w:id="30"/>
    <w:bookmarkStart w:id="31" w:name="función-de-divulgar-func12"/>
    <w:p>
      <w:pPr>
        <w:pStyle w:val="Ttulo3"/>
      </w:pPr>
      <w:r>
        <w:t xml:space="preserve">Función de Divulgar (FUNC12)</w:t>
      </w:r>
    </w:p>
    <w:p>
      <w:pPr>
        <w:pStyle w:val="FirstParagraph"/>
      </w:pPr>
      <w:r>
        <w:t xml:space="preserve">Esta función tiene dos modalidades. Primero, la de evidenciar. El Comité (CAF)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p>
      <w:pPr>
        <w:pStyle w:val="Textoindependiente"/>
      </w:pPr>
      <w:r>
        <w:t xml:space="preserve">Esta función debe con frecuencia eventual: cuando le sea requerido por la Vicepresidencia de Tecnología del FNA.</w:t>
      </w:r>
    </w:p>
    <w:p>
      <w:pPr>
        <w:pStyle w:val="Textoindependiente"/>
      </w:pPr>
      <w:r>
        <w:t xml:space="preserve">La segunda modalidad de esta función es la de comunicar. El Comité (CAF) debe reunir a las partes interesadas en conocer los avances teóricos, prácticos y metológicos que considere pertinentes que la empresa conozca.</w:t>
      </w:r>
    </w:p>
    <w:p>
      <w:pPr>
        <w:pStyle w:val="Textoindependiente"/>
      </w:pPr>
      <w:r>
        <w:t xml:space="preserve">Esta función debe con frecuencia periódica trimestral: cada 3 meses.</w:t>
      </w:r>
    </w:p>
    <w:bookmarkEnd w:id="31"/>
    <w:bookmarkStart w:id="32"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r>
        <w:t xml:space="preserve">Esta función debe ejecutarse con frecuencia periódica mensual.</w:t>
      </w:r>
    </w:p>
    <w:p>
      <w:pPr>
        <w:pStyle w:val="Textoindependiente"/>
      </w:pPr>
    </w:p>
    <w:bookmarkEnd w:id="32"/>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2023-07-14T18:05:02Z</dcterms:created>
  <dcterms:modified xsi:type="dcterms:W3CDTF">2023-07-14T18:05:02Z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