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1.2439bb1</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da4c8457-432e-44d4-90af-3e45a3c5f0b3"/>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X3f26b15a4e2950b9b075f37afafed1ade750ab8"/>
    <w:p>
      <w:pPr>
        <w:pStyle w:val="Ttulo2"/>
      </w:pPr>
      <w:r>
        <w:t xml:space="preserve">Objetivos Específicos del CAF (comité de arquitectura FNA)</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2023-07-24T18:01:28Z</dcterms:created>
  <dcterms:modified xsi:type="dcterms:W3CDTF">2023-07-24T18:01:28Z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