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545"/>
        <w:gridCol w:w="6374"/>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Descripción del Comité de Gobierno de Arquitecturas del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4" w:name="el-comité-de-arquitectura-del-fna"/>
    <w:p>
      <w:pPr>
        <w:pStyle w:val="Ttulo1"/>
      </w:pPr>
      <w:r>
        <w:t xml:space="preserve">El Comité de Arquitectura del FNA</w:t>
      </w:r>
    </w:p>
    <w:bookmarkStart w:id="27" w:name="X08075f18359d1477728061def81eac086c395a2"/>
    <w:p>
      <w:pPr>
        <w:pStyle w:val="Ttulo2"/>
      </w:pPr>
      <w:r>
        <w:t xml:space="preserve">Descripción del Comité de Gobierno de Arquitecturas del FNA: ámbitos y alcances del comité</w:t>
      </w:r>
    </w:p>
    <w:p>
      <w:pPr>
        <w:pStyle w:val="FirstParagraph"/>
      </w:pPr>
      <w:r>
        <w:t xml:space="preserve">Otro de los instrumentos en donde se materializa el gobierno SOA, objeto de este proyecto, es el comité de revisión y de trabajos de arquitectura (Comité de Arquitectura del FNA, para abreviar). El comité de arquitectura contribuye al gobierno al realizar tareas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En el siguiente diagrama resumimos la actuación y colaboración del modelo operativo del Comité de Arquitectura.</w:t>
      </w:r>
    </w:p>
    <w:bookmarkStart w:id="0" w:name="fig:240761c9-1c58-43a3-b27d-12f86e07e7b2"/>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poder acceder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End w:id="27"/>
    <w:bookmarkStart w:id="28"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8"/>
    <w:bookmarkStart w:id="29" w:name="X3f26b15a4e2950b9b075f37afafed1ade750ab8"/>
    <w:p>
      <w:pPr>
        <w:pStyle w:val="Ttulo2"/>
      </w:pPr>
      <w:r>
        <w:t xml:space="preserve">Objetivos Específicos del CAF (comité de arquitectura FNA)</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p>
    <w:p>
      <w:pPr>
        <w:numPr>
          <w:ilvl w:val="0"/>
          <w:numId w:val="1001"/>
        </w:numPr>
        <w:pStyle w:val="Compact"/>
      </w:pPr>
      <w:r>
        <w:t xml:space="preserve">Divulgar el valor empresarial ampliado y elevado de la arquitectura SOA a las áreas relacionadas con TI del FNA</w:t>
      </w:r>
    </w:p>
    <w:p>
      <w:pPr>
        <w:numPr>
          <w:ilvl w:val="0"/>
          <w:numId w:val="1001"/>
        </w:numPr>
        <w:pStyle w:val="Compact"/>
      </w:pPr>
      <w:r>
        <w:t xml:space="preserve">Procurar la visibilidad de las otras áreas del FNA del trabajo de la oficina de arquitectura</w:t>
      </w:r>
    </w:p>
    <w:p>
      <w:pPr>
        <w:pStyle w:val="FirstParagraph"/>
      </w:pPr>
    </w:p>
    <w:bookmarkEnd w:id="29"/>
    <w:bookmarkStart w:id="33"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30"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impactantes, están relacionadas con los análisis primarios de complejidad, impacto y costo/beneficio descritos en el modelo operativo de este gobierno, objeto del proyecto.</w:t>
      </w:r>
    </w:p>
    <w:bookmarkEnd w:id="30"/>
    <w:bookmarkStart w:id="31"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metodológicos que considere pertinentes que la empresa conozca.</w:t>
      </w:r>
    </w:p>
    <w:p>
      <w:pPr>
        <w:pStyle w:val="Textoindependiente"/>
      </w:pPr>
      <w:r>
        <w:t xml:space="preserve">Esta función debe con frecuencia periódica trimestral: cada 3 meses.</w:t>
      </w:r>
    </w:p>
    <w:bookmarkEnd w:id="31"/>
    <w:bookmarkStart w:id="32"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2"/>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2023-07-26T20:54:26Z</dcterms:created>
  <dcterms:modified xsi:type="dcterms:W3CDTF">2023-07-26T20:54:26Z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