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1.3dddb4f</w:t>
            </w:r>
            <w:r>
              <w:t xml:space="preserve"> </w:t>
            </w:r>
            <w:r>
              <w:t xml:space="preserve">del 15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de las arquitecturas más relevantes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En el siguiente diagrama resumimos la actuación y colaboración del modelo operativo del Comité de Arquitectura.</w:t>
      </w:r>
    </w:p>
    <w:bookmarkStart w:id="0" w:name="fig:comiteModelo.png"/>
    <w:p>
      <w:pPr>
        <w:pStyle w:val="CaptionedFigure"/>
      </w:pPr>
      <w:bookmarkStart w:id="25" w:name="fig:comiteModelo.pn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de la posibilidad del Comité acceder a los modelos a los que evaluará. Así mismo, debe poder acceder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X3f26b15a4e2950b9b075f37afafed1ade750ab8"/>
    <w:p>
      <w:pPr>
        <w:pStyle w:val="Ttulo2"/>
      </w:pPr>
      <w:r>
        <w:t xml:space="preserve">Objetivos Específicos del CAF (comité de arquitectura FNA)</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tres funciones básicas. Es decir, el comité debe responder a:</w:t>
      </w:r>
    </w:p>
    <w:p>
      <w:pPr>
        <w:numPr>
          <w:ilvl w:val="0"/>
          <w:numId w:val="1002"/>
        </w:numPr>
        <w:pStyle w:val="Compact"/>
      </w:pPr>
      <w:r>
        <w:t xml:space="preserve">FUNC10. Dirimir (decisiones)</w:t>
      </w:r>
    </w:p>
    <w:p>
      <w:pPr>
        <w:numPr>
          <w:ilvl w:val="0"/>
          <w:numId w:val="1002"/>
        </w:numPr>
        <w:pStyle w:val="Compact"/>
      </w:pPr>
      <w:r>
        <w:t xml:space="preserve">FUNC11. Divulgar (resoluciones)</w:t>
      </w:r>
    </w:p>
    <w:p>
      <w:pPr>
        <w:numPr>
          <w:ilvl w:val="0"/>
          <w:numId w:val="1002"/>
        </w:numPr>
        <w:pStyle w:val="Compact"/>
      </w:pPr>
      <w:r>
        <w:t xml:space="preserve">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impactantes,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metodológicos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2023-08-15T16:39:55Z</dcterms:created>
  <dcterms:modified xsi:type="dcterms:W3CDTF">2023-08-15T16:39:55Z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