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Comité de Gobierno de Arquitectura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1.7232836</w:t>
            </w:r>
            <w:r>
              <w:t xml:space="preserve"> </w:t>
            </w:r>
            <w:r>
              <w:t xml:space="preserve">del 21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el-comité-de-arquitectura-del-fna"/>
    <w:p>
      <w:pPr>
        <w:pStyle w:val="Ttulo1"/>
      </w:pPr>
      <w:r>
        <w:t xml:space="preserve">El Comité de Arquitectura del FNA</w:t>
      </w:r>
    </w:p>
    <w:p>
      <w:pPr>
        <w:pStyle w:val="FirstParagraph"/>
      </w:pPr>
      <w:r>
        <w:t xml:space="preserve">Otro de los instrumentos en donde se materializa el gobierno SOA, objeto de este proyecto, es el comité de revisión y de trabajos de arquitectura. El comité de arquitectura contribuye al gobierno en el sentido de que abarca aspectos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p>
    <w:bookmarkStart w:id="22"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2"/>
    <w:bookmarkStart w:id="23"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r>
        <w:t xml:space="preserve"> </w:t>
      </w:r>
      <w:r>
        <w:t xml:space="preserve">El valor empresarial ampliado y elevado de la arquitectura en toda la empresa</w:t>
      </w:r>
    </w:p>
    <w:p>
      <w:pPr>
        <w:numPr>
          <w:ilvl w:val="0"/>
          <w:numId w:val="1001"/>
        </w:numPr>
        <w:pStyle w:val="Compact"/>
      </w:pPr>
      <w:r>
        <w:t xml:space="preserve">Procurar la visibilidad de las áreas del FNA del trabajo de la oficina de arquitectura</w:t>
      </w:r>
    </w:p>
    <w:bookmarkEnd w:id="23"/>
    <w:bookmarkStart w:id="27"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24"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bookmarkEnd w:id="24"/>
    <w:bookmarkStart w:id="25" w:name="función-de-divulgar-func12"/>
    <w:p>
      <w:pPr>
        <w:pStyle w:val="Ttulo3"/>
      </w:pPr>
      <w:r>
        <w:t xml:space="preserve">Función de Divulgar (FUNC12)</w:t>
      </w:r>
    </w:p>
    <w:p>
      <w:pPr>
        <w:pStyle w:val="FirstParagraph"/>
      </w:pPr>
      <w:r>
        <w:t xml:space="preserve">El Comité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bookmarkEnd w:id="25"/>
    <w:bookmarkStart w:id="26" w:name="función-de-evaluar-func13"/>
    <w:p>
      <w:pPr>
        <w:pStyle w:val="Ttulo3"/>
      </w:pPr>
      <w:r>
        <w:t xml:space="preserve">Función de Evaluar (FUNC13)</w:t>
      </w:r>
    </w:p>
    <w:p>
      <w:pPr>
        <w:numPr>
          <w:ilvl w:val="0"/>
          <w:numId w:val="1002"/>
        </w:numPr>
      </w:pPr>
      <w:r>
        <w:t xml:space="preserve">PRNC01. Conocimiento y compromiso. Todas los involucrados deben contar con el conocimiento y experiencia (perfil de estudios) requeridos para el rol de arquitecto FNA, junto con el compromiso de conocer el gobierno y adherirse a los procedimientos, procesos y estructuras de autoridad acordados.</w:t>
      </w:r>
    </w:p>
    <w:p>
      <w:pPr>
        <w:numPr>
          <w:ilvl w:val="0"/>
          <w:numId w:val="1002"/>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2"/>
        </w:numPr>
      </w:pPr>
      <w:r>
        <w:t xml:space="preserve">PRNC03. Paridad y Ponderación. Las decisiones de arquitectura no pueden generar ventajas injustas ni favorecer a un parte sobre otra.</w:t>
      </w:r>
    </w:p>
    <w:p>
      <w:pPr>
        <w:numPr>
          <w:ilvl w:val="0"/>
          <w:numId w:val="1002"/>
        </w:numPr>
      </w:pPr>
      <w:r>
        <w:t xml:space="preserve">PRNC04. Cumplimiento de Directiva de Arquitectura. Por sobre todas las cosas, la oficina de arquitectura debe cumnplir con la realización de los siguientes políticas.</w:t>
      </w:r>
    </w:p>
    <w:bookmarkEnd w:id="26"/>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2023-06-21T18:22:14Z</dcterms:created>
  <dcterms:modified xsi:type="dcterms:W3CDTF">2023-06-21T18:22:14Z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