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Modelo operativo del Comité de Gobierno</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1.4c59737</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3" w:name="el-comité-de-arquitectura-del-fna"/>
    <w:p>
      <w:pPr>
        <w:pStyle w:val="Ttulo1"/>
      </w:pPr>
      <w:r>
        <w:t xml:space="preserve">El Comité de Arquitectura del FNA</w:t>
      </w:r>
    </w:p>
    <w:p>
      <w:pPr>
        <w:pStyle w:val="FirstParagraph"/>
      </w:pPr>
      <w:r>
        <w:t xml:space="preserve">Otro de los instrumentos en donde se materializa el gobierno SOA, objeto de este proyecto, es el comité de revisión y de trabajos de arquitectura. El comité de arquitectura contribuye al gobierno en el sentido de que abarca aspectos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543d9147-8786-432a-acd7-e4e8f5b13719"/>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Start w:id="27"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7"/>
    <w:bookmarkStart w:id="28"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r>
        <w:t xml:space="preserve"> </w:t>
      </w:r>
      <w:r>
        <w:t xml:space="preserve">El valor empresarial ampliado y elevado de la arquitectura en toda la empresa</w:t>
      </w:r>
    </w:p>
    <w:p>
      <w:pPr>
        <w:numPr>
          <w:ilvl w:val="0"/>
          <w:numId w:val="1001"/>
        </w:numPr>
        <w:pStyle w:val="Compact"/>
      </w:pPr>
      <w:r>
        <w:t xml:space="preserve">Procurar la visibilidad de las áreas del FNA del trabajo de la oficina de arquitectura</w:t>
      </w:r>
    </w:p>
    <w:p>
      <w:pPr>
        <w:pStyle w:val="FirstParagraph"/>
      </w:pPr>
    </w:p>
    <w:bookmarkEnd w:id="28"/>
    <w:bookmarkStart w:id="32"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29"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29"/>
    <w:bookmarkStart w:id="30"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0"/>
    <w:bookmarkStart w:id="31"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2023-06-24T18:27:32Z</dcterms:created>
  <dcterms:modified xsi:type="dcterms:W3CDTF">2023-06-24T18:27:32Z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