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Comité de Gobierno de Arquitectura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Comité de arquitectura, Funciones, Responsabilidades, RACI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1.359489e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8" w:name="el-comité-de-arquitectura-del-fna"/>
    <w:p>
      <w:pPr>
        <w:pStyle w:val="Ttulo1"/>
      </w:pPr>
      <w:r>
        <w:t xml:space="preserve">El Comité de Arquitectura del FNA</w:t>
      </w:r>
    </w:p>
    <w:p>
      <w:pPr>
        <w:pStyle w:val="FirstParagraph"/>
      </w:pPr>
      <w:r>
        <w:t xml:space="preserve">Otro de los instrumentos en donde se materializa el gobierno SOA, objeto de este proyecto, es el comité de revisión y de trabajos de arquitectura. El comité de arquitectura contribuye al gobierno en el sentido de que abarca aspectos de revisión, decisión, seguimiento (en menor grado) y divulgación de trabajos de arquitectura.</w:t>
      </w:r>
    </w:p>
    <w:p>
      <w:pPr>
        <w:pStyle w:val="Textoindependiente"/>
      </w:pPr>
      <w:r>
        <w:t xml:space="preserve">Es de su despacho armonizar los requisitos arquitectónicos macro del FNA, que de otra manera divergirían o prevalecerían las opiniones en lugar de los criterios. Por esta razón, su principal objetivo (objetivo general) es garantizar que las visiones y los estándares de la oficina de arquitectura estén alineados con el gobierno SOA del FNA, y por ende, con el correcto uso del repositorio de arquitectura del FNA (RAF).</w:t>
      </w:r>
    </w:p>
    <w:p>
      <w:pPr>
        <w:pStyle w:val="Textoindependiente"/>
      </w:pPr>
    </w:p>
    <w:bookmarkStart w:id="22" w:name="X3f2f2f74f92d0f78a7593b5dadc2e7c09e0f5f4"/>
    <w:p>
      <w:pPr>
        <w:pStyle w:val="Ttulo2"/>
      </w:pPr>
      <w:r>
        <w:t xml:space="preserve">Objetivo Principal del Comité de Arquitectura del FNA (CAF)</w:t>
      </w:r>
    </w:p>
    <w:p>
      <w:pPr>
        <w:pStyle w:val="FirstParagraph"/>
      </w:pPr>
      <w:r>
        <w:t xml:space="preserve">El objetivo principal del Comité de Arquitectura del FNA es garantizar que las visiones y los estándares de la oficina de arquitectura estén alineados con el modelo de gobierno SOA del FNA (ver</w:t>
      </w:r>
      <w:r>
        <w:t xml:space="preserve"> </w:t>
      </w:r>
      <w:hyperlink r:id="rId21">
        <w:r>
          <w:rPr>
            <w:rStyle w:val="Hipervnculo"/>
          </w:rPr>
          <w:t xml:space="preserve">Modelo de Gobierno y CCF</w:t>
        </w:r>
      </w:hyperlink>
      <w:r>
        <w:t xml:space="preserve">).</w:t>
      </w:r>
    </w:p>
    <w:bookmarkEnd w:id="22"/>
    <w:bookmarkStart w:id="23" w:name="objetivos-específicos-del-caf"/>
    <w:p>
      <w:pPr>
        <w:pStyle w:val="Ttulo2"/>
      </w:pPr>
      <w:r>
        <w:t xml:space="preserve">Objetivos Específicos del CAF</w:t>
      </w:r>
    </w:p>
    <w:p>
      <w:pPr>
        <w:pStyle w:val="FirstParagraph"/>
      </w:pPr>
      <w:r>
        <w:t xml:space="preserve">Para alcanzar el objetivo principal, los actores del comité deben perseguir, y gestionar, el logro de los siguientes objetivos específicos y beneficios.</w:t>
      </w:r>
    </w:p>
    <w:p>
      <w:pPr>
        <w:numPr>
          <w:ilvl w:val="0"/>
          <w:numId w:val="1001"/>
        </w:numPr>
        <w:pStyle w:val="Compact"/>
      </w:pPr>
      <w:r>
        <w:t xml:space="preserve">Guiar y priorización los esfuerzos de la oficina de arquitectura</w:t>
      </w:r>
    </w:p>
    <w:p>
      <w:pPr>
        <w:numPr>
          <w:ilvl w:val="0"/>
          <w:numId w:val="1001"/>
        </w:numPr>
        <w:pStyle w:val="Compact"/>
      </w:pPr>
      <w:r>
        <w:t xml:space="preserve">Ejercitar los roles y responsabilidades del gobierno SOA del FNA, y respaldar su supervisión y la rendición de cuentas de la oficina de arquitectura</w:t>
      </w:r>
    </w:p>
    <w:p>
      <w:pPr>
        <w:numPr>
          <w:ilvl w:val="0"/>
          <w:numId w:val="1001"/>
        </w:numPr>
        <w:pStyle w:val="Compact"/>
      </w:pPr>
      <w:r>
        <w:t xml:space="preserve">Efectivizar el proceso de toma de decisiones sobre los trabajos de arquitectura</w:t>
      </w:r>
    </w:p>
    <w:p>
      <w:pPr>
        <w:numPr>
          <w:ilvl w:val="0"/>
          <w:numId w:val="1001"/>
        </w:numPr>
        <w:pStyle w:val="Compact"/>
      </w:pPr>
      <w:r>
        <w:t xml:space="preserve">Verificar la aplicación de los métodos (procedimientos normales) de arquitectura del FNA y del gobierno SOA del FNA</w:t>
      </w:r>
    </w:p>
    <w:p>
      <w:pPr>
        <w:numPr>
          <w:ilvl w:val="0"/>
          <w:numId w:val="1001"/>
        </w:numPr>
        <w:pStyle w:val="Compact"/>
      </w:pPr>
      <w:r>
        <w:t xml:space="preserve">Fomentar el uso de herramientas de publicación automatizable por audiencia de los puntos de vista de los trabajos de arquitectura</w:t>
      </w:r>
      <w:r>
        <w:t xml:space="preserve"> </w:t>
      </w:r>
      <w:r>
        <w:t xml:space="preserve">El valor empresarial ampliado y elevado de la arquitectura en toda la empresa</w:t>
      </w:r>
    </w:p>
    <w:p>
      <w:pPr>
        <w:numPr>
          <w:ilvl w:val="0"/>
          <w:numId w:val="1001"/>
        </w:numPr>
        <w:pStyle w:val="Compact"/>
      </w:pPr>
      <w:r>
        <w:t xml:space="preserve">Procurar la visibilidad de las áreas del FNA del trabajo de la oficina de arquitectura</w:t>
      </w:r>
    </w:p>
    <w:bookmarkEnd w:id="23"/>
    <w:bookmarkStart w:id="27" w:name="funciones-del-comité"/>
    <w:p>
      <w:pPr>
        <w:pStyle w:val="Ttulo2"/>
      </w:pPr>
      <w:r>
        <w:t xml:space="preserve">Funciones del Comité</w:t>
      </w:r>
    </w:p>
    <w:p>
      <w:pPr>
        <w:pStyle w:val="FirstParagraph"/>
      </w:pPr>
      <w:r>
        <w:t xml:space="preserve">El comité de arquitectura tiene dos funciones básicas. Es decir, lo que se espera que el comité responda es:</w:t>
      </w:r>
      <w:r>
        <w:t xml:space="preserve"> </w:t>
      </w:r>
      <w:r>
        <w:t xml:space="preserve">1. FUNC10. Dirimir (decisiones)</w:t>
      </w:r>
      <w:r>
        <w:t xml:space="preserve"> </w:t>
      </w:r>
      <w:r>
        <w:t xml:space="preserve">1. FUNC11. Divulgar (resoluciones)</w:t>
      </w:r>
      <w:r>
        <w:t xml:space="preserve"> </w:t>
      </w:r>
      <w:r>
        <w:t xml:space="preserve">1. FUNC13. Evaluación (arquitecturas)</w:t>
      </w:r>
    </w:p>
    <w:bookmarkStart w:id="24" w:name="función-de-divulgar-func11"/>
    <w:p>
      <w:pPr>
        <w:pStyle w:val="Ttulo3"/>
      </w:pPr>
      <w:r>
        <w:t xml:space="preserve">Función de Divulgar (FUNC11)</w:t>
      </w:r>
    </w:p>
    <w:bookmarkEnd w:id="24"/>
    <w:bookmarkStart w:id="25" w:name="función-de-divulgar-func12"/>
    <w:p>
      <w:pPr>
        <w:pStyle w:val="Ttulo3"/>
      </w:pPr>
      <w:r>
        <w:t xml:space="preserve">Función de Divulgar (FUNC12)</w:t>
      </w:r>
    </w:p>
    <w:bookmarkEnd w:id="25"/>
    <w:bookmarkStart w:id="26" w:name="función-de-divulgar-func13"/>
    <w:p>
      <w:pPr>
        <w:pStyle w:val="Ttulo3"/>
      </w:pPr>
      <w:r>
        <w:t xml:space="preserve">Función de Divulgar (FUNC13)</w:t>
      </w:r>
    </w:p>
    <w:bookmarkEnd w:id="26"/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2023-06-21T17:23:31Z</dcterms:created>
  <dcterms:modified xsi:type="dcterms:W3CDTF">2023-06-21T17:23:31Z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