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Modelo operativo del Comité de Gobierno</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1.7ce212d</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3"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75eb0c96-ae47-4d77-9420-aa9be76e175c"/>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Start w:id="27"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7"/>
    <w:bookmarkStart w:id="28"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01"/>
        </w:numPr>
        <w:pStyle w:val="Compact"/>
      </w:pPr>
      <w:r>
        <w:t xml:space="preserve">Procurar la visibilidad de las áreas del FNA del trabajo de la oficina de arquitectura</w:t>
      </w:r>
    </w:p>
    <w:p>
      <w:pPr>
        <w:pStyle w:val="FirstParagraph"/>
      </w:pPr>
    </w:p>
    <w:bookmarkEnd w:id="28"/>
    <w:bookmarkStart w:id="32"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29"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29"/>
    <w:bookmarkStart w:id="30"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0"/>
    <w:bookmarkStart w:id="31"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2023-06-24T18:30:29Z</dcterms:created>
  <dcterms:modified xsi:type="dcterms:W3CDTF">2023-06-24T18:30:29Z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