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1.38c8f50</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7"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6" w:name="consideraciones-para-operar-la-bitácora"/>
    <w:p>
      <w:pPr>
        <w:pStyle w:val="Ttulo2"/>
      </w:pPr>
      <w:r>
        <w:t xml:space="preserve">Consideraciones para Operar la Bitácora</w:t>
      </w:r>
    </w:p>
    <w:bookmarkStart w:id="22" w:name="X1bb1318efda29b267d23c6854ec26e3d4daa5c3"/>
    <w:p>
      <w:pPr>
        <w:pStyle w:val="Ttulo3"/>
      </w:pPr>
      <w:r>
        <w:t xml:space="preserve">Registro Histórico y Diferencial (versiones)</w:t>
      </w:r>
    </w:p>
    <w:p>
      <w:pPr>
        <w:pStyle w:val="FirstParagraph"/>
      </w:pPr>
      <w:r>
        <w:t xml:space="preserve">La bitácora de decisiones de arquitectura (BDA, o ADR por sus siglas en inglés) debe registrar las entradas en dos dimensiones: temporal (histórico o horizontal) y diferencial (vertical o distinción de cambios). Características de los sistemas de configuración o versionamiento (SCM, por sus siglas en inglés) implementan ambas dimensiones en lo que a código o texto se refiere.</w:t>
      </w:r>
    </w:p>
    <w:p>
      <w:pPr>
        <w:pStyle w:val="Textoindependiente"/>
      </w:pPr>
      <w:r>
        <w:t xml:space="preserve">Por tal motivo, recomendamos que la bitácora pueda ser implementada en una herramienta SCM, como</w:t>
      </w:r>
      <w:r>
        <w:t xml:space="preserve"> </w:t>
      </w:r>
      <w:r>
        <w:rPr>
          <w:iCs/>
          <w:i/>
        </w:rPr>
        <w:t xml:space="preserve">Git</w:t>
      </w:r>
      <w:r>
        <w:t xml:space="preserve">, o similar, que cuenta con las características antes descritas de temporalidad y diferencialidad (distinción de cambios).</w:t>
      </w:r>
    </w:p>
    <w:bookmarkEnd w:id="22"/>
    <w:bookmarkStart w:id="23" w:name="X00bf8f125ad89a9be43987af53a845fc90e5b86"/>
    <w:p>
      <w:pPr>
        <w:pStyle w:val="Ttulo3"/>
      </w:pPr>
      <w:r>
        <w:t xml:space="preserve">Formato para la Bitácora de Arquitectura (ARD)</w:t>
      </w:r>
    </w:p>
    <w:p>
      <w:pPr>
        <w:pStyle w:val="FirstParagraph"/>
      </w:pPr>
      <w:r>
        <w:t xml:space="preserve">La bitácora de decisiones de arquitectura (BDA, o ADR por sus siglas en inglés)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3"/>
    <w:bookmarkStart w:id="24"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4"/>
    <w:bookmarkStart w:id="25"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Lista de involucrados que participaron en una sesión o discusión del comité. Esto ayuda a generar la memoria para responder y aclarar preguntas como</w:t>
      </w:r>
      <w:r>
        <w:t xml:space="preserve"> </w:t>
      </w:r>
      <w:r>
        <w:t xml:space="preserve">“</w:t>
      </w:r>
      <w:r>
        <w:t xml:space="preserve">¿le preguntaron a ingeniero escargado de tal aplicación, o al desarrollador?</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Esta memoria es clave luego de meses de la sesión.</w:t>
      </w:r>
    </w:p>
    <w:p>
      <w:pPr>
        <w:numPr>
          <w:ilvl w:val="0"/>
          <w:numId w:val="1002"/>
        </w:numPr>
      </w:pPr>
      <w:r>
        <w:t xml:space="preserve">Estado: Definimos cuatro estados diferentes en los que una entrada de la BDA (ADR) puede estar: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5"/>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2023-07-03T19:41:55Z</dcterms:created>
  <dcterms:modified xsi:type="dcterms:W3CDTF">2023-07-03T19:41:55Z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