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1.2710cbf</w:t>
            </w:r>
            <w:r>
              <w:t xml:space="preserve"> </w:t>
            </w:r>
            <w:r>
              <w:t xml:space="preserve">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5" w:name="consideraciones-para-operar-la-bitácora"/>
    <w:p>
      <w:pPr>
        <w:pStyle w:val="Ttulo2"/>
      </w:pPr>
      <w:r>
        <w:t xml:space="preserve">Consideraciones para Operar la Bitácora</w:t>
      </w:r>
    </w:p>
    <w:bookmarkStart w:id="22" w:name="X00bf8f125ad89a9be43987af53a845fc90e5b86"/>
    <w:p>
      <w:pPr>
        <w:pStyle w:val="Ttulo3"/>
      </w:pPr>
      <w:r>
        <w:t xml:space="preserve">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2"/>
    <w:bookmarkStart w:id="23"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3"/>
    <w:bookmarkStart w:id="24"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numPr>
          <w:ilvl w:val="0"/>
          <w:numId w:val="1002"/>
        </w:numPr>
      </w:pPr>
      <w:r>
        <w:t xml:space="preserve">Estado: Tenemos cuatro estados diferentes en los que un ADR puede ser: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2023-06-30T17:07:37Z</dcterms:created>
  <dcterms:modified xsi:type="dcterms:W3CDTF">2023-06-30T17:07:37Z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