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Comité de Arquitectura del FNA:</w:t>
            </w:r>
            <w:r>
              <w:t xml:space="preserve"> </w:t>
            </w:r>
            <w:r>
              <w:rPr>
                <w:bCs/>
                <w:b/>
              </w:rPr>
              <w:t xml:space="preserve">Bitácora de Decisiones de Arquitectura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Comité de arquitectura, Funciones, Responsabilidades, RACI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1.13c85df</w:t>
            </w:r>
            <w:r>
              <w:t xml:space="preserve"> </w:t>
            </w:r>
            <w:r>
              <w:t xml:space="preserve">del 21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3" w:name="bitácora-de-decisiones-de-arquitectura"/>
    <w:p>
      <w:pPr>
        <w:pStyle w:val="Ttulo1"/>
      </w:pPr>
      <w:r>
        <w:t xml:space="preserve">Bitácora de Decisiones de Arquitectura</w:t>
      </w:r>
    </w:p>
    <w:p>
      <w:pPr>
        <w:pStyle w:val="FirstParagraph"/>
      </w:pPr>
      <w:r>
        <w:t xml:space="preserve">La bitácora de decisiones es una herramienta para gestionar la toma de decisiones de arquitectura. Por tal razón, estructurar y genera gestión seguimiento, (versión y trazabilidad) a las discusiones de la oficina de arquitectura del FNA. El objetivo de esta herramienta es el de consensuar a todos los arquitectos alrededor del mismo contexto, problema, restricciones, conveniencia (pro/con), alternativas y opciones de solución.</w:t>
      </w:r>
    </w:p>
    <w:bookmarkStart w:id="22" w:name="consideraciones-para-operar-la-bitácora"/>
    <w:p>
      <w:pPr>
        <w:pStyle w:val="Ttulo2"/>
      </w:pPr>
      <w:r>
        <w:t xml:space="preserve">Consideraciones para Operar la Bitácora</w:t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2023-06-21T19:22:34Z</dcterms:created>
  <dcterms:modified xsi:type="dcterms:W3CDTF">2023-06-21T19:22:34Z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