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c9bb8a28634c0f57468d00d638fb67d8e9f85a8"/>
    <w:p>
      <w:pPr>
        <w:pStyle w:val="Ttulo2"/>
      </w:pPr>
      <w:r>
        <w:t xml:space="preserve">Bloques de Construcción Requeridos por Arquitectura (LAOF)</w:t>
      </w:r>
    </w:p>
    <w:p>
      <w:pPr>
        <w:pStyle w:val="FirstParagraph"/>
      </w:pPr>
      <w:r>
        <w:t xml:space="preserve">Los bloques de solución a los que nos referimos en los pasos no. 2 y 5 del flujo anterior, arquitecto de solución, son los paquetes de funcionalidad definidos por las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comienzo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r>
        <w:t xml:space="preserve">En la siguiente imagen ilustramos esta variante del flujo de trabajo de la oficina de arquitectura del FNA.</w:t>
      </w:r>
    </w:p>
    <w:bookmarkStart w:id="0" w:name="fig:flujoADM-2.png"/>
    <w:p>
      <w:pPr>
        <w:pStyle w:val="CaptionedFigure"/>
      </w:pPr>
      <w:bookmarkStart w:id="23" w:name="fig:flujoADM-2.png"/>
      <w:r>
        <w:drawing>
          <wp:inline>
            <wp:extent cx="5600700" cy="3125701"/>
            <wp:effectExtent b="0" l="0" r="0" t="0"/>
            <wp:docPr descr="Figure 1: alt 2. Actividades y relaciones de los estados de un flujo de trabajo de la oficina de arquitectura con arreglo al proceso ADM de TOGAF. Flujo para la oficina de arquitectura en conjunto con proveedores del FNA." title="" id="21" name="Picture"/>
            <a:graphic>
              <a:graphicData uri="http://schemas.openxmlformats.org/drawingml/2006/picture">
                <pic:pic>
                  <pic:nvPicPr>
                    <pic:cNvPr descr="images/flujoADM-2.png" id="22" name="Picture"/>
                    <pic:cNvPicPr>
                      <a:picLocks noChangeArrowheads="1" noChangeAspect="1"/>
                    </pic:cNvPicPr>
                  </pic:nvPicPr>
                  <pic:blipFill>
                    <a:blip r:embed="rId20"/>
                    <a:stretch>
                      <a:fillRect/>
                    </a:stretch>
                  </pic:blipFill>
                  <pic:spPr bwMode="auto">
                    <a:xfrm>
                      <a:off x="0" y="0"/>
                      <a:ext cx="5600700" cy="3125701"/>
                    </a:xfrm>
                    <a:prstGeom prst="rect">
                      <a:avLst/>
                    </a:prstGeom>
                    <a:noFill/>
                    <a:ln w="9525">
                      <a:noFill/>
                      <a:headEnd/>
                      <a:tailEnd/>
                    </a:ln>
                  </pic:spPr>
                </pic:pic>
              </a:graphicData>
            </a:graphic>
          </wp:inline>
        </w:drawing>
      </w:r>
      <w:bookmarkEnd w:id="23"/>
    </w:p>
    <w:p>
      <w:pPr>
        <w:pStyle w:val="ImageCaption"/>
      </w:pPr>
      <w:r>
        <w:t xml:space="preserve">Figure 1: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p>
      <w:pPr>
        <w:pStyle w:val="Textoindependiente"/>
      </w:pPr>
      <w:r>
        <w:t xml:space="preserve">El flujo 2, que atiende la colaboración entre oficinas de arquitecturas, bien puede ser iniciado por un flujo interno de la oficina del FNA, (FLUJ01, Flujo de Trabajo Oficina de Arquitectura Interno). Es frecuente que una implementación iniciada por el este flujo (2 le corresponda una revisión interna, y de esta, se inicien varios flujos de implementación y colaboración de cambios a los servicios y aplicaciones del FNA.</w:t>
      </w:r>
    </w:p>
    <w:p>
      <w:pPr>
        <w:pStyle w:val="Textoindependiente"/>
      </w:pPr>
    </w:p>
    <w:bookmarkEnd w:id="2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2023-08-10T21:25:51Z</dcterms:created>
  <dcterms:modified xsi:type="dcterms:W3CDTF">2023-08-10T21:25:51Z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