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STEF@24860fa</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1.24860fa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1.24860fa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1.24860fa</w:t>
      </w:r>
    </w:p>
    <w:p>
      <w:pPr>
        <w:pStyle w:val="FirstParagraph"/>
      </w:pPr>
    </w:p>
    <w:bookmarkEnd w:id="30"/>
    <w:bookmarkStart w:id="76"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8b6e4946-6fa7-47c8-8426-ce222fd8e6cb"/>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1.24860fa</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b001cb7-a6e4-4c80-85a3-1b37da650cea"/>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4439671b-74a6-4da9-9a76-58d1a5544761"/>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1.24860fa</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2"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1"/>
    <w:bookmarkStart w:id="71"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ed34b1a8-5295-4366-8626-0d8adacb914d"/>
    <w:p>
      <w:pPr>
        <w:pStyle w:val="CaptionedFigure"/>
      </w:pPr>
      <w:bookmarkStart w:id="65" w:name="fig:"/>
      <w:r>
        <w:drawing>
          <wp:inline>
            <wp:extent cx="5600700" cy="4177941"/>
            <wp:effectExtent b="0" l="0" r="0" t="0"/>
            <wp:docPr descr="Imagen 4: Objetivos secundarios del gobierno SOA del FNA"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4177941"/>
                    </a:xfrm>
                    <a:prstGeom prst="rect">
                      <a:avLst/>
                    </a:prstGeom>
                    <a:noFill/>
                    <a:ln w="9525">
                      <a:noFill/>
                      <a:headEnd/>
                      <a:tailEnd/>
                    </a:ln>
                  </pic:spPr>
                </pic:pic>
              </a:graphicData>
            </a:graphic>
          </wp:inline>
        </w:drawing>
      </w:r>
      <w:bookmarkEnd w:id="65"/>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7"/>
    <w:bookmarkEnd w:id="68"/>
    <w:bookmarkStart w:id="6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9"/>
    <w:bookmarkStart w:id="7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0"/>
    <w:bookmarkEnd w:id="71"/>
    <w:bookmarkEnd w:id="72"/>
    <w:bookmarkStart w:id="73"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1.24860fa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9"/>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1.24860fa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0"/>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1.24860fa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1"/>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1.24860fa</w:t>
      </w:r>
    </w:p>
    <w:p>
      <w:pPr>
        <w:pStyle w:val="FirstParagraph"/>
      </w:pPr>
    </w:p>
    <w:bookmarkEnd w:id="75"/>
    <w:bookmarkEnd w:id="76"/>
    <w:bookmarkStart w:id="8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77"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77"/>
    <w:bookmarkStart w:id="78" w:name="contenidos-1"/>
    <w:p>
      <w:pPr>
        <w:pStyle w:val="Ttulo2"/>
      </w:pPr>
      <w:r>
        <w:t xml:space="preserve">Contenidos</w:t>
      </w:r>
    </w:p>
    <w:p>
      <w:pPr>
        <w:numPr>
          <w:ilvl w:val="0"/>
          <w:numId w:val="1012"/>
        </w:numPr>
        <w:pStyle w:val="Compact"/>
      </w:pPr>
      <w:r>
        <w:t xml:space="preserve">Modelo operativo del Comité de Gobierno de Arquitecturas del FNA: ámbitos y alcances del comité</w:t>
      </w:r>
    </w:p>
    <w:p>
      <w:pPr>
        <w:numPr>
          <w:ilvl w:val="0"/>
          <w:numId w:val="1012"/>
        </w:numPr>
        <w:pStyle w:val="Compact"/>
      </w:pPr>
      <w:r>
        <w:t xml:space="preserve">Consideraciones para la puesta en marcha de la bitácora de decisiones de arquitectura</w:t>
      </w:r>
    </w:p>
    <w:p>
      <w:pPr>
        <w:numPr>
          <w:ilvl w:val="0"/>
          <w:numId w:val="1012"/>
        </w:numPr>
        <w:pStyle w:val="Compact"/>
      </w:pPr>
      <w:r>
        <w:t xml:space="preserve">Respositorio y gestión de los requerimientos de arquitectura del FNA (flexibilidad, confiabilidad, rendimiento, mantenibilidad)</w:t>
      </w:r>
    </w:p>
    <w:p>
      <w:pPr>
        <w:numPr>
          <w:ilvl w:val="0"/>
          <w:numId w:val="1012"/>
        </w:numPr>
        <w:pStyle w:val="Compact"/>
      </w:pPr>
      <w:r>
        <w:t xml:space="preserve">Métodos de evaluación de arquitecturas para el FNA</w:t>
      </w:r>
    </w:p>
    <w:p>
      <w:pPr>
        <w:pStyle w:val="FirstParagraph"/>
      </w:pPr>
    </w:p>
    <w:bookmarkEnd w:id="78"/>
    <w:bookmarkStart w:id="79" w:name="criterios-de-aceptación-1"/>
    <w:p>
      <w:pPr>
        <w:pStyle w:val="Ttulo2"/>
      </w:pPr>
      <w:r>
        <w:t xml:space="preserve">Criterios de Aceptación</w:t>
      </w:r>
    </w:p>
    <w:p>
      <w:pPr>
        <w:numPr>
          <w:ilvl w:val="0"/>
          <w:numId w:val="1013"/>
        </w:numPr>
        <w:pStyle w:val="Compact"/>
      </w:pPr>
      <w:r>
        <w:t xml:space="preserve">Especificaciones de la bitácora de decisiones de arquitectura</w:t>
      </w:r>
    </w:p>
    <w:p>
      <w:pPr>
        <w:numPr>
          <w:ilvl w:val="0"/>
          <w:numId w:val="1013"/>
        </w:numPr>
        <w:pStyle w:val="Compact"/>
      </w:pPr>
      <w:r>
        <w:t xml:space="preserve">Especificaciones de funcionamiento del Comité de Gobierno de Arquitecturas del FNA</w:t>
      </w:r>
    </w:p>
    <w:p>
      <w:pPr>
        <w:numPr>
          <w:ilvl w:val="0"/>
          <w:numId w:val="1013"/>
        </w:numPr>
        <w:pStyle w:val="Compact"/>
      </w:pPr>
      <w:r>
        <w:t xml:space="preserve">Esquema de comunicación y publicación de cambios a las arquitecturas del FNA</w:t>
      </w:r>
    </w:p>
    <w:p>
      <w:pPr>
        <w:pStyle w:val="FirstParagraph"/>
      </w:pPr>
    </w:p>
    <w:bookmarkEnd w:id="79"/>
    <w:bookmarkStart w:id="83" w:name="modelo-de-implementación-del-pry01-1"/>
    <w:p>
      <w:pPr>
        <w:pStyle w:val="Ttulo2"/>
      </w:pPr>
      <w:r>
        <w:t xml:space="preserve">Modelo de Implementación del PRY01</w:t>
      </w:r>
    </w:p>
    <w:bookmarkStart w:id="0" w:name="fig:fe0ae6e8-f22f-4e88-9afb-61c8f82ec73b"/>
    <w:p>
      <w:pPr>
        <w:pStyle w:val="CaptionedFigure"/>
      </w:pPr>
      <w:bookmarkStart w:id="82" w:name="fig:"/>
      <w:r>
        <w:drawing>
          <wp:inline>
            <wp:extent cx="5600700" cy="4499951"/>
            <wp:effectExtent b="0" l="0" r="0" t="0"/>
            <wp:docPr descr="Imagen 5: Plan de Implementación del Proyecto Hoja de Ruta E-Service FNA, 2023. Abril 2023 a Agosto 2023" title="" id="80" name="Picture"/>
            <a:graphic>
              <a:graphicData uri="http://schemas.openxmlformats.org/drawingml/2006/picture">
                <pic:pic>
                  <pic:nvPicPr>
                    <pic:cNvPr descr="images/pry1gobierno.jpg" id="81"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82"/>
    </w:p>
    <w:p>
      <w:pPr>
        <w:pStyle w:val="ImageCaption"/>
      </w:pPr>
      <w:r>
        <w:t xml:space="preserve">Imagen 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83"/>
    <w:bookmarkStart w:id="88" w:name="referencias"/>
    <w:p>
      <w:pPr>
        <w:pStyle w:val="Ttulo2"/>
      </w:pPr>
      <w:r>
        <w:t xml:space="preserve">Referencias</w:t>
      </w:r>
    </w:p>
    <w:bookmarkStart w:id="84" w:name="refs"/>
    <w:p>
      <w:pPr>
        <w:pStyle w:val="Bibliography"/>
      </w:pPr>
      <w:r>
        <w:t xml:space="preserve">E-Service. Situación SOA Actual del FNA. Etapa I. (2022).</w:t>
      </w:r>
    </w:p>
    <w:bookmarkEnd w:id="84"/>
    <w:bookmarkStart w:id="85" w:name="refs"/>
    <w:p>
      <w:pPr>
        <w:pStyle w:val="Bibliography"/>
      </w:pPr>
      <w:r>
        <w:t xml:space="preserve">E-Service. Arquitectura de Referencia del FNA. Etapa II. (2023).</w:t>
      </w:r>
    </w:p>
    <w:bookmarkEnd w:id="85"/>
    <w:bookmarkStart w:id="86" w:name="refs"/>
    <w:p>
      <w:pPr>
        <w:pStyle w:val="Bibliography"/>
      </w:pPr>
      <w:r>
        <w:t xml:space="preserve">E-Service. Hoja de Ruta e Iniciativas. Etapa III. (2023).</w:t>
      </w:r>
    </w:p>
    <w:bookmarkEnd w:id="86"/>
    <w:bookmarkStart w:id="87" w:name="refs"/>
    <w:p>
      <w:pPr>
        <w:pStyle w:val="Bibliography"/>
      </w:pPr>
      <w:r>
        <w:t xml:space="preserve">TOGAF 9.1. Risk Management (2023). En https://pubs.opengroup.org/architecture/togaf9-doc/arch/chap27.html</w:t>
      </w:r>
    </w:p>
    <w:bookmarkEnd w:id="87"/>
    <w:bookmarkEnd w:id="88"/>
    <w:bookmarkEnd w:id="8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24860fa3ef6cf9a898c39c5626cfb16ede747d5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24860fa3ef6cf9a898c39c5626cfb16ede747d5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2023-06-13T13:11:25Z</dcterms:created>
  <dcterms:modified xsi:type="dcterms:W3CDTF">2023-06-13T13:11:25Z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