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STEF@307f271</w:t>
        </w:r>
      </w:hyperlink>
      <w:r>
        <w:t xml:space="preserve"> </w:t>
      </w:r>
      <w:r>
        <w:t xml:space="preserve">del August 31, 2023.</w:t>
      </w:r>
      <w:r>
        <w:t xml:space="preserve"> </w:t>
      </w:r>
    </w:p>
    <w:p>
      <w:pPr>
        <w:pStyle w:val="Textoindependiente"/>
      </w:pPr>
      <w:r>
        <w:t xml:space="preserve">   </w:t>
      </w:r>
      <w:r>
        <w:rPr>
          <w:bCs/>
          <w:b/>
        </w:rPr>
        <w:t xml:space="preserve">Versión</w:t>
      </w:r>
      <w:r>
        <w:t xml:space="preserve"> </w:t>
      </w:r>
      <w:r>
        <w:t xml:space="preserve">del producto 1.307f271 de 31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1.307f271 del 31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Aug 2023</w:t>
      </w:r>
    </w:p>
    <w:p>
      <w:pPr>
        <w:pStyle w:val="Textodebloque"/>
      </w:pPr>
      <w:r>
        <w:rPr>
          <w:bCs/>
          <w:b/>
        </w:rPr>
        <w:t xml:space="preserve">Versión</w:t>
      </w:r>
      <w:r>
        <w:t xml:space="preserve"> </w:t>
      </w:r>
      <w:r>
        <w:t xml:space="preserve">1.307f271</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arquitectura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d67d5a87-9148-4004-81c3-419ba1a722a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0ace21eb-cf42-4730-9d9f-e48325f2575c"/>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eb2aa93d-ed4d-473a-80be-817c83f3ec16"/>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d1a3e2cf-d5a1-49ed-a186-5d292a362b5a"/>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0901fef8-1daa-4935-900e-fe3546cf98d4"/>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20a97440-5f54-43aa-b430-e6715b848b02"/>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21f0c82a-6020-40b0-af27-b4ef9b7a05d0"/>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generales que competen también a la oficina de arquitectura, están dirigidos a las problemáticas encontradas en la Fase I. Estos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operativo del que la oficina de arquitectura es el órgano ejecutivo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funciones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625202f8-7075-4ea8-92d3-bd57873c5780"/>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oficina. Ejemplo, las decisiones de arquitectura. Es deber del área de arquitectura del FNA centralizar la autoría y gestión de este tipo de información.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diagnosticar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entregas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responsabilidades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e176dcca-83e1-4140-99c0-88454e97013d"/>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1.307f271 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Aug 2023</w:t>
      </w:r>
    </w:p>
    <w:p>
      <w:pPr>
        <w:pStyle w:val="Textodebloque"/>
      </w:pPr>
      <w:r>
        <w:rPr>
          <w:bCs/>
          <w:b/>
        </w:rPr>
        <w:t xml:space="preserve">Versión</w:t>
      </w:r>
      <w:r>
        <w:t xml:space="preserve"> </w:t>
      </w:r>
      <w:r>
        <w:t xml:space="preserve">1.307f271</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pertinentes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e2ada16c-077a-411b-bc41-ea1b655f8a75"/>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de las arquitecturas más relevantes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En el siguiente diagrama resumimos la actuación y colaboración del modelo operativo del Comité de Arquitectura.</w:t>
      </w:r>
    </w:p>
    <w:bookmarkStart w:id="0" w:name="fig:comiteModelo.png"/>
    <w:p>
      <w:pPr>
        <w:pStyle w:val="CaptionedFigure"/>
      </w:pPr>
      <w:bookmarkStart w:id="174" w:name="fig:comiteModelo.pn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de la posibilidad del Comité acceder a los modelos a los que evaluará. Así mismo, debe poder acceder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tres funciones básicas. Es decir, el comité debe responder a:</w:t>
      </w:r>
    </w:p>
    <w:p>
      <w:pPr>
        <w:numPr>
          <w:ilvl w:val="0"/>
          <w:numId w:val="1028"/>
        </w:numPr>
        <w:pStyle w:val="Compact"/>
      </w:pPr>
      <w:r>
        <w:t xml:space="preserve">FUNC10. Dirimir (decisiones)</w:t>
      </w:r>
    </w:p>
    <w:p>
      <w:pPr>
        <w:numPr>
          <w:ilvl w:val="0"/>
          <w:numId w:val="1028"/>
        </w:numPr>
        <w:pStyle w:val="Compact"/>
      </w:pPr>
      <w:r>
        <w:t xml:space="preserve">FUNC11. Divulgar (resoluciones)</w:t>
      </w:r>
    </w:p>
    <w:p>
      <w:pPr>
        <w:numPr>
          <w:ilvl w:val="0"/>
          <w:numId w:val="1028"/>
        </w:numPr>
        <w:pStyle w:val="Compact"/>
      </w:pPr>
      <w:r>
        <w:t xml:space="preserve">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impactantes,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metodológicos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1.307f271</w:t>
            </w:r>
            <w:r>
              <w:t xml:space="preserve"> </w:t>
            </w:r>
            <w:r>
              <w:t xml:space="preserve">del 31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307f2712d908115d7de7643e23fb12add9777307/"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307f2712d908115d7de7643e23fb12add9777307/"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2023-08-31T14:46:03Z</dcterms:created>
  <dcterms:modified xsi:type="dcterms:W3CDTF">2023-08-31T14:46:03Z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2023-08-31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