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5.png" ContentType="image/png"/>
  <Override PartName="/word/media/rId57.png" ContentType="image/png"/>
  <Override PartName="/word/media/rId73.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STEF@3319b5c</w:t>
        </w:r>
      </w:hyperlink>
      <w:r>
        <w:t xml:space="preserve"> </w:t>
      </w:r>
      <w:r>
        <w:t xml:space="preserve">del June 15, 2023.</w:t>
      </w:r>
      <w:r>
        <w:t xml:space="preserve"> </w:t>
      </w:r>
    </w:p>
    <w:p>
      <w:pPr>
        <w:pStyle w:val="Textoindependiente"/>
      </w:pPr>
      <w:r>
        <w:t xml:space="preserve">   </w:t>
      </w:r>
      <w:r>
        <w:rPr>
          <w:bCs/>
          <w:b/>
        </w:rPr>
        <w:t xml:space="preserve">Versión</w:t>
      </w:r>
      <w:r>
        <w:t xml:space="preserve"> </w:t>
      </w:r>
      <w:r>
        <w:t xml:space="preserve">del producto 1.3319b5c de 15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1.3319b5c del 15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Jun 2023</w:t>
      </w:r>
    </w:p>
    <w:p>
      <w:pPr>
        <w:pStyle w:val="Textodebloque"/>
      </w:pPr>
      <w:r>
        <w:rPr>
          <w:bCs/>
          <w:b/>
        </w:rPr>
        <w:t xml:space="preserve">Versión</w:t>
      </w:r>
      <w:r>
        <w:t xml:space="preserve"> </w:t>
      </w:r>
      <w:r>
        <w:t xml:space="preserve">1.3319b5c</w:t>
      </w:r>
    </w:p>
    <w:p>
      <w:pPr>
        <w:pStyle w:val="FirstParagraph"/>
      </w:pPr>
    </w:p>
    <w:bookmarkEnd w:id="30"/>
    <w:bookmarkStart w:id="9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3389dd82-0460-4a31-8b68-76a72556a982"/>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1.3319b5c</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90393423-feea-4955-ba94-33b7a3d55db2"/>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f3364803-2be1-4284-87de-983325b0310d"/>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1.3319b5c</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61"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demos que las funciones de gobierno, en tanto que acciones, vienen a ser las responsabilidades que los integrantes del área de arquitectura del FNA deben cumplir. En la imagen siguiente dejamos explícitos estas responsabilidades.</w:t>
      </w:r>
    </w:p>
    <w:bookmarkStart w:id="0" w:name="fig:78c974a9-02d1-4e66-9426-1a1e1d3c02c4"/>
    <w:p>
      <w:pPr>
        <w:pStyle w:val="CaptionedFigure"/>
      </w:pPr>
      <w:bookmarkStart w:id="60" w:name="fig:"/>
      <w:r>
        <w:drawing>
          <wp:inline>
            <wp:extent cx="5600700" cy="4402410"/>
            <wp:effectExtent b="0" l="0" r="0" t="0"/>
            <wp:docPr descr="Imagen 4: Funciones (responsabilidades) de la Oficina de Arquitectura del FNA. Gobierno SOA, v0.5." title="" id="58" name="Picture"/>
            <a:graphic>
              <a:graphicData uri="http://schemas.openxmlformats.org/drawingml/2006/picture">
                <pic:pic>
                  <pic:nvPicPr>
                    <pic:cNvPr descr="images/funcionesgobierno.png" id="59" name="Picture"/>
                    <pic:cNvPicPr>
                      <a:picLocks noChangeArrowheads="1" noChangeAspect="1"/>
                    </pic:cNvPicPr>
                  </pic:nvPicPr>
                  <pic:blipFill>
                    <a:blip r:embed="rId57"/>
                    <a:stretch>
                      <a:fillRect/>
                    </a:stretch>
                  </pic:blipFill>
                  <pic:spPr bwMode="auto">
                    <a:xfrm>
                      <a:off x="0" y="0"/>
                      <a:ext cx="5600700" cy="4402410"/>
                    </a:xfrm>
                    <a:prstGeom prst="rect">
                      <a:avLst/>
                    </a:prstGeom>
                    <a:noFill/>
                    <a:ln w="9525">
                      <a:noFill/>
                      <a:headEnd/>
                      <a:tailEnd/>
                    </a:ln>
                  </pic:spPr>
                </pic:pic>
              </a:graphicData>
            </a:graphic>
          </wp:inline>
        </w:drawing>
      </w:r>
      <w:bookmarkEnd w:id="60"/>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61"/>
    <w:bookmarkStart w:id="83" w:name="funciones-del-gobierno-soa-del-fna"/>
    <w:p>
      <w:pPr>
        <w:pStyle w:val="Ttulo2"/>
      </w:pPr>
      <w:r>
        <w:t xml:space="preserve">Funciones del Gobierno SOA del FNA</w:t>
      </w: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69" w:name="Xc1322487bb449403080f53ca37d5f186008267f"/>
    <w:p>
      <w:pPr>
        <w:pStyle w:val="Ttulo3"/>
      </w:pPr>
      <w:r>
        <w:t xml:space="preserve">Consideraciones para la puesta en marcha del gobierno SOA en el FNA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1.3319b5c</w:t>
            </w:r>
            <w:r>
              <w:t xml:space="preserve"> </w:t>
            </w:r>
            <w:r>
              <w:t xml:space="preserve">del 15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pStyle w:val="Textoindependiente"/>
      </w:pPr>
      <w:r>
        <w:t xml:space="preserve">Desarrollamos a continuación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6"/>
        </w:numPr>
        <w:pStyle w:val="Compact"/>
      </w:pPr>
      <w:r>
        <w:t xml:space="preserve">Recibe el requerimiento de arquitectura</w:t>
      </w:r>
    </w:p>
    <w:p>
      <w:pPr>
        <w:numPr>
          <w:ilvl w:val="0"/>
          <w:numId w:val="1006"/>
        </w:numPr>
        <w:pStyle w:val="Compact"/>
      </w:pPr>
      <w:r>
        <w:t xml:space="preserve">Inicia el proceso ADM - fase de preliminar: alistamiento y aprobación​</w:t>
      </w:r>
    </w:p>
    <w:p>
      <w:pPr>
        <w:numPr>
          <w:ilvl w:val="0"/>
          <w:numId w:val="1006"/>
        </w:numPr>
        <w:pStyle w:val="Compact"/>
      </w:pPr>
      <w:r>
        <w:t xml:space="preserve">Inicia el modelado​</w:t>
      </w:r>
    </w:p>
    <w:p>
      <w:pPr>
        <w:numPr>
          <w:ilvl w:val="0"/>
          <w:numId w:val="1006"/>
        </w:numPr>
        <w:pStyle w:val="Compact"/>
      </w:pPr>
      <w:r>
        <w:t xml:space="preserve">Continúa el proceso ADM - solicita implementación / gobierno</w:t>
      </w:r>
    </w:p>
    <w:p>
      <w:pPr>
        <w:pStyle w:val="FirstParagraph"/>
      </w:pPr>
      <w:r>
        <w:t xml:space="preserve">La siguiente imagen ilustra los pasos descritos.</w:t>
      </w:r>
    </w:p>
    <w:p>
      <w:pPr>
        <w:pStyle w:val="Figure"/>
      </w:pPr>
      <w:r>
        <w:drawing>
          <wp:inline>
            <wp:extent cx="5600700" cy="3928939"/>
            <wp:effectExtent b="0" l="0" r="0" t="0"/>
            <wp:docPr descr="" title="" id="66" name="Picture"/>
            <a:graphic>
              <a:graphicData uri="http://schemas.openxmlformats.org/drawingml/2006/picture">
                <pic:pic>
                  <pic:nvPicPr>
                    <pic:cNvPr descr="images/flujoADM.png" id="67" name="Picture"/>
                    <pic:cNvPicPr>
                      <a:picLocks noChangeArrowheads="1" noChangeAspect="1"/>
                    </pic:cNvPicPr>
                  </pic:nvPicPr>
                  <pic:blipFill>
                    <a:blip r:embed="rId65"/>
                    <a:stretch>
                      <a:fillRect/>
                    </a:stretch>
                  </pic:blipFill>
                  <pic:spPr bwMode="auto">
                    <a:xfrm>
                      <a:off x="0" y="0"/>
                      <a:ext cx="5600700" cy="3928939"/>
                    </a:xfrm>
                    <a:prstGeom prst="rect">
                      <a:avLst/>
                    </a:prstGeom>
                    <a:noFill/>
                    <a:ln w="9525">
                      <a:noFill/>
                      <a:headEnd/>
                      <a:tailEnd/>
                    </a:ln>
                  </pic:spPr>
                </pic:pic>
              </a:graphicData>
            </a:graphic>
          </wp:inline>
        </w:drawing>
      </w:r>
    </w:p>
    <w:p>
      <w:pPr>
        <w:pStyle w:val="FirstParagraph"/>
      </w:pPr>
      <w:hyperlink r:id="rId68">
        <w:r>
          <w:rPr>
            <w:rStyle w:val="Hipervnculo"/>
          </w:rPr>
          <w:t xml:space="preserve">Imagen 3.</w:t>
        </w:r>
      </w:hyperlink>
      <w:r>
        <w:t xml:space="preserve"> </w:t>
      </w:r>
      <w:r>
        <w:t xml:space="preserve">Actividades y relaciones de los estados de un flujo de trabajo de la oficina de arquitectura con arreglo al proceso ADM de TOGAF. Flujo recomendado para la oficina de arquitectura del FNA.</w:t>
      </w:r>
    </w:p>
    <w:p>
      <w:pPr>
        <w:pStyle w:val="Textoindependiente"/>
      </w:pPr>
      <w:r>
        <w:rPr>
          <w:iCs/>
          <w:i/>
        </w:rPr>
        <w:t xml:space="preserve">Fuente: elaboración propia.</w:t>
      </w:r>
    </w:p>
    <w:p>
      <w:pPr>
        <w:pStyle w:val="Textoindependiente"/>
      </w:pPr>
      <w:r>
        <w:t xml:space="preserve">Una variante del flujo de trabajo arquitectura ADM, y más sgnificativa para el FNA, incorpora los tipos de análisis que dentro del flujo se llevan a cabo.</w:t>
      </w:r>
    </w:p>
    <w:p>
      <w:pPr>
        <w:numPr>
          <w:ilvl w:val="0"/>
          <w:numId w:val="1007"/>
        </w:numPr>
        <w:pStyle w:val="Compact"/>
      </w:pPr>
      <w:r>
        <w:t xml:space="preserve">Arq1 recibe el cambio</w:t>
      </w:r>
    </w:p>
    <w:p>
      <w:pPr>
        <w:numPr>
          <w:ilvl w:val="0"/>
          <w:numId w:val="1007"/>
        </w:numPr>
        <w:pStyle w:val="Compact"/>
      </w:pPr>
      <w:r>
        <w:t xml:space="preserve">Inicia el proceso ADM - fase de preliminar: alistamiento y probación</w:t>
      </w:r>
    </w:p>
    <w:p>
      <w:pPr>
        <w:numPr>
          <w:ilvl w:val="0"/>
          <w:numId w:val="1007"/>
        </w:numPr>
        <w:pStyle w:val="Compact"/>
      </w:pPr>
      <w:r>
        <w:t xml:space="preserve">Inicia el modelado</w:t>
      </w:r>
    </w:p>
    <w:p>
      <w:pPr>
        <w:numPr>
          <w:ilvl w:val="1"/>
          <w:numId w:val="1008"/>
        </w:numPr>
        <w:pStyle w:val="Compact"/>
      </w:pPr>
      <w:r>
        <w:t xml:space="preserve">Creación de contenidos</w:t>
      </w:r>
    </w:p>
    <w:p>
      <w:pPr>
        <w:numPr>
          <w:ilvl w:val="1"/>
          <w:numId w:val="1008"/>
        </w:numPr>
        <w:pStyle w:val="Compact"/>
      </w:pPr>
      <w:r>
        <w:t xml:space="preserve">Diseño</w:t>
      </w:r>
    </w:p>
    <w:p>
      <w:pPr>
        <w:numPr>
          <w:ilvl w:val="2"/>
          <w:numId w:val="1009"/>
        </w:numPr>
        <w:pStyle w:val="Compact"/>
      </w:pPr>
      <w:r>
        <w:t xml:space="preserve">Inicia diseño conceptual (nivel 100): appl, datos, TI, servicios, inversión</w:t>
      </w:r>
    </w:p>
    <w:p>
      <w:pPr>
        <w:numPr>
          <w:ilvl w:val="2"/>
          <w:numId w:val="1009"/>
        </w:numPr>
        <w:pStyle w:val="Compact"/>
      </w:pPr>
      <w:r>
        <w:t xml:space="preserve">Bloques de construcción abstractos</w:t>
      </w:r>
    </w:p>
    <w:p>
      <w:pPr>
        <w:numPr>
          <w:ilvl w:val="1"/>
          <w:numId w:val="1008"/>
        </w:numPr>
        <w:pStyle w:val="Compact"/>
      </w:pPr>
      <w:r>
        <w:t xml:space="preserve">Solución</w:t>
      </w:r>
    </w:p>
    <w:p>
      <w:pPr>
        <w:numPr>
          <w:ilvl w:val="2"/>
          <w:numId w:val="1010"/>
        </w:numPr>
        <w:pStyle w:val="Compact"/>
      </w:pPr>
      <w:r>
        <w:t xml:space="preserve">Bloques de construcción de solución</w:t>
      </w:r>
    </w:p>
    <w:p>
      <w:pPr>
        <w:numPr>
          <w:ilvl w:val="2"/>
          <w:numId w:val="1010"/>
        </w:numPr>
        <w:pStyle w:val="Compact"/>
      </w:pPr>
      <w:r>
        <w:t xml:space="preserve">Solicita diseño detallado (nivel 200, 300, 400 o 500): appl, datos, técnica, servicios</w:t>
      </w:r>
    </w:p>
    <w:p>
      <w:pPr>
        <w:numPr>
          <w:ilvl w:val="1"/>
          <w:numId w:val="1008"/>
        </w:numPr>
        <w:pStyle w:val="Compact"/>
      </w:pPr>
      <w:r>
        <w:t xml:space="preserve">Inicia análisis</w:t>
      </w:r>
    </w:p>
    <w:p>
      <w:pPr>
        <w:numPr>
          <w:ilvl w:val="2"/>
          <w:numId w:val="1011"/>
        </w:numPr>
        <w:pStyle w:val="Compact"/>
      </w:pPr>
      <w:r>
        <w:t xml:space="preserve">Impacto</w:t>
      </w:r>
    </w:p>
    <w:p>
      <w:pPr>
        <w:numPr>
          <w:ilvl w:val="2"/>
          <w:numId w:val="1011"/>
        </w:numPr>
        <w:pStyle w:val="Compact"/>
      </w:pPr>
      <w:r>
        <w:t xml:space="preserve">Costo / beneficio</w:t>
      </w:r>
    </w:p>
    <w:p>
      <w:pPr>
        <w:numPr>
          <w:ilvl w:val="2"/>
          <w:numId w:val="1011"/>
        </w:numPr>
        <w:pStyle w:val="Compact"/>
      </w:pPr>
      <w:r>
        <w:t xml:space="preserve">Plan de cambios</w:t>
      </w:r>
    </w:p>
    <w:p>
      <w:pPr>
        <w:numPr>
          <w:ilvl w:val="2"/>
          <w:numId w:val="1011"/>
        </w:numPr>
        <w:pStyle w:val="Compact"/>
      </w:pPr>
      <w:r>
        <w:t xml:space="preserve">Estimación</w:t>
      </w:r>
    </w:p>
    <w:p>
      <w:pPr>
        <w:numPr>
          <w:ilvl w:val="2"/>
          <w:numId w:val="1011"/>
        </w:numPr>
        <w:pStyle w:val="Compact"/>
      </w:pPr>
      <w:r>
        <w:t xml:space="preserve">Complejidad</w:t>
      </w:r>
    </w:p>
    <w:p>
      <w:pPr>
        <w:numPr>
          <w:ilvl w:val="2"/>
          <w:numId w:val="1011"/>
        </w:numPr>
        <w:pStyle w:val="Compact"/>
      </w:pPr>
      <w:r>
        <w:t xml:space="preserve">Estructural</w:t>
      </w:r>
    </w:p>
    <w:p>
      <w:pPr>
        <w:numPr>
          <w:ilvl w:val="2"/>
          <w:numId w:val="1011"/>
        </w:numPr>
        <w:pStyle w:val="Compact"/>
      </w:pPr>
      <w:r>
        <w:t xml:space="preserve">Otros</w:t>
      </w:r>
    </w:p>
    <w:p>
      <w:pPr>
        <w:numPr>
          <w:ilvl w:val="0"/>
          <w:numId w:val="1007"/>
        </w:numPr>
        <w:pStyle w:val="Compact"/>
      </w:pPr>
      <w:r>
        <w:t xml:space="preserve">Solicita al Arq solución el inicio del proceso ADM - fases de implementación / gobierno</w:t>
      </w:r>
    </w:p>
    <w:p>
      <w:pPr>
        <w:pStyle w:val="FirstParagraph"/>
      </w:pPr>
    </w:p>
    <w:bookmarkEnd w:id="69"/>
    <w:bookmarkStart w:id="71"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FirstParagraph"/>
      </w:pPr>
      <w:bookmarkStart w:id="70" w:name="fig:example-id"/>
      <w:r>
        <w:t xml:space="preserve">Imagen 5: Objetivos principal y específicos del Gobierno SOA del FNA, versión 0.5.</w:t>
      </w:r>
      <w:bookmarkEnd w:id="70"/>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71"/>
    <w:bookmarkStart w:id="72"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12"/>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13"/>
        </w:numPr>
        <w:pStyle w:val="Compact"/>
      </w:pPr>
      <w:r>
        <w:t xml:space="preserve">el análisis de factibilidad SOA</w:t>
      </w:r>
    </w:p>
    <w:p>
      <w:pPr>
        <w:numPr>
          <w:ilvl w:val="1"/>
          <w:numId w:val="1013"/>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12"/>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12"/>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5</w:t>
        </w:r>
      </w:hyperlink>
      <w:r>
        <w:t xml:space="preserve">.</w:t>
      </w:r>
    </w:p>
    <w:bookmarkEnd w:id="72"/>
    <w:bookmarkStart w:id="82"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14"/>
        </w:numPr>
        <w:pStyle w:val="Compact"/>
      </w:pPr>
      <w:r>
        <w:t xml:space="preserve">Desde el área, o rol, de gobierno SOA del FNA, servir de guía en la entrega de soluciones de software conforme a la arquitectura de referencia estregada por esta consultoría.</w:t>
      </w:r>
    </w:p>
    <w:p>
      <w:pPr>
        <w:numPr>
          <w:ilvl w:val="0"/>
          <w:numId w:val="1014"/>
        </w:numPr>
        <w:pStyle w:val="Compact"/>
      </w:pPr>
      <w:r>
        <w:t xml:space="preserve">Informar de desviaciones en la relación de efectividad de costos de los proyectos SOA del FNA (en términos del área de inefectividad de costo e infactibilidad SOA.</w:t>
      </w:r>
    </w:p>
    <w:p>
      <w:pPr>
        <w:numPr>
          <w:ilvl w:val="0"/>
          <w:numId w:val="1014"/>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a9287fc5-dbe7-4aa3-88ce-0e379e76e42c"/>
    <w:p>
      <w:pPr>
        <w:pStyle w:val="CaptionedFigure"/>
      </w:pPr>
      <w:bookmarkStart w:id="76" w:name="fig:"/>
      <w:r>
        <w:drawing>
          <wp:inline>
            <wp:extent cx="5600700" cy="4177941"/>
            <wp:effectExtent b="0" l="0" r="0" t="0"/>
            <wp:docPr descr="Imagen 6: Objetivos secundarios del gobierno SOA del FNA" title="" id="74" name="Picture"/>
            <a:graphic>
              <a:graphicData uri="http://schemas.openxmlformats.org/drawingml/2006/picture">
                <pic:pic>
                  <pic:nvPicPr>
                    <pic:cNvPr descr="images/gobiernobjetivos.png" id="75" name="Picture"/>
                    <pic:cNvPicPr>
                      <a:picLocks noChangeArrowheads="1" noChangeAspect="1"/>
                    </pic:cNvPicPr>
                  </pic:nvPicPr>
                  <pic:blipFill>
                    <a:blip r:embed="rId73"/>
                    <a:stretch>
                      <a:fillRect/>
                    </a:stretch>
                  </pic:blipFill>
                  <pic:spPr bwMode="auto">
                    <a:xfrm>
                      <a:off x="0" y="0"/>
                      <a:ext cx="5600700" cy="4177941"/>
                    </a:xfrm>
                    <a:prstGeom prst="rect">
                      <a:avLst/>
                    </a:prstGeom>
                    <a:noFill/>
                    <a:ln w="9525">
                      <a:noFill/>
                      <a:headEnd/>
                      <a:tailEnd/>
                    </a:ln>
                  </pic:spPr>
                </pic:pic>
              </a:graphicData>
            </a:graphic>
          </wp:inline>
        </w:drawing>
      </w:r>
      <w:bookmarkEnd w:id="76"/>
    </w:p>
    <w:p>
      <w:pPr>
        <w:pStyle w:val="ImageCaption"/>
      </w:pPr>
      <w:r>
        <w:t xml:space="preserve">Imagen 6: Objetivos secundarios del gobierno SOA del FNA</w:t>
      </w:r>
    </w:p>
    <w:bookmarkEnd w:id="0"/>
    <w:p>
      <w:pPr>
        <w:pStyle w:val="Textoindependiente"/>
      </w:pPr>
      <w:r>
        <w:rPr>
          <w:iCs/>
          <w:i/>
        </w:rPr>
        <w:t xml:space="preserve">Fuente: Diagnóstico SOA. E-Service (2022)</w:t>
      </w:r>
    </w:p>
    <w:p>
      <w:pPr>
        <w:pStyle w:val="Textoindependiente"/>
      </w:pPr>
    </w:p>
    <w:bookmarkStart w:id="79"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8"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8"/>
    <w:bookmarkEnd w:id="79"/>
    <w:bookmarkStart w:id="80"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80"/>
    <w:bookmarkStart w:id="81"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81"/>
    <w:bookmarkEnd w:id="82"/>
    <w:bookmarkEnd w:id="83"/>
    <w:bookmarkStart w:id="84" w:name="X1dff0e18553c7791a6591965f046615447427d7"/>
    <w:p>
      <w:pPr>
        <w:pStyle w:val="Ttulo2"/>
      </w:pPr>
      <w:r>
        <w:t xml:space="preserve">Anexo 1. Susceptibilidades de Gobierno (PR01)</w:t>
      </w:r>
    </w:p>
    <w:p>
      <w:pPr>
        <w:numPr>
          <w:ilvl w:val="0"/>
          <w:numId w:val="1015"/>
        </w:numPr>
        <w:pStyle w:val="Compact"/>
      </w:pPr>
      <w:r>
        <w:t xml:space="preserve">Debilidad en la Completitud de los CU</w:t>
      </w:r>
    </w:p>
    <w:p>
      <w:pPr>
        <w:numPr>
          <w:ilvl w:val="0"/>
          <w:numId w:val="1015"/>
        </w:numPr>
        <w:pStyle w:val="Compact"/>
      </w:pPr>
      <w:r>
        <w:t xml:space="preserve">Herramientas y Métodos de QA relacionados con sistemas distribuidos y QA​</w:t>
      </w:r>
    </w:p>
    <w:p>
      <w:pPr>
        <w:numPr>
          <w:ilvl w:val="0"/>
          <w:numId w:val="1015"/>
        </w:numPr>
        <w:pStyle w:val="Compact"/>
      </w:pPr>
      <w:r>
        <w:t xml:space="preserve">Normalización y fortalecimiento de los ambientes QA ​</w:t>
      </w:r>
    </w:p>
    <w:p>
      <w:pPr>
        <w:numPr>
          <w:ilvl w:val="0"/>
          <w:numId w:val="1015"/>
        </w:numPr>
        <w:pStyle w:val="Compact"/>
      </w:pPr>
      <w:r>
        <w:t xml:space="preserve">Gestión del diseño y arquitecturas: categorización de complejidad​</w:t>
      </w:r>
    </w:p>
    <w:p>
      <w:pPr>
        <w:numPr>
          <w:ilvl w:val="0"/>
          <w:numId w:val="1015"/>
        </w:numPr>
        <w:pStyle w:val="Compact"/>
      </w:pPr>
      <w:r>
        <w:t xml:space="preserve">Correspondencia complejidad - diseño</w:t>
      </w:r>
    </w:p>
    <w:p>
      <w:pPr>
        <w:numPr>
          <w:ilvl w:val="0"/>
          <w:numId w:val="1015"/>
        </w:numPr>
        <w:pStyle w:val="Compact"/>
      </w:pPr>
      <w:r>
        <w:t xml:space="preserve">Débil (o inexistente) procedimiento de evaluación de inversión​</w:t>
      </w:r>
    </w:p>
    <w:p>
      <w:pPr>
        <w:numPr>
          <w:ilvl w:val="0"/>
          <w:numId w:val="1015"/>
        </w:numPr>
        <w:pStyle w:val="Compact"/>
      </w:pPr>
      <w:r>
        <w:t xml:space="preserve">Débil (o inexistente) formalidad para el cálculo de eficacia un inversión​ TI, proveedores</w:t>
      </w:r>
    </w:p>
    <w:p>
      <w:pPr>
        <w:numPr>
          <w:ilvl w:val="0"/>
          <w:numId w:val="1015"/>
        </w:numPr>
        <w:pStyle w:val="Compact"/>
      </w:pPr>
      <w:r>
        <w:t xml:space="preserve">Normnalizar registro de resultados de las entregas de proveedores​ (confiabilidad)</w:t>
      </w:r>
    </w:p>
    <w:p>
      <w:pPr>
        <w:numPr>
          <w:ilvl w:val="0"/>
          <w:numId w:val="1015"/>
        </w:numPr>
        <w:pStyle w:val="Compact"/>
      </w:pPr>
      <w:r>
        <w:t xml:space="preserve">Asignación de responsables de gestión de las inversiones de TI</w:t>
      </w:r>
    </w:p>
    <w:p>
      <w:pPr>
        <w:pStyle w:val="FirstParagraph"/>
      </w:pPr>
    </w:p>
    <w:bookmarkEnd w:id="84"/>
    <w:bookmarkStart w:id="85" w:name="Xd820393e281519037d62de8a6e14b7ac62e8045"/>
    <w:p>
      <w:pPr>
        <w:pStyle w:val="Ttulo2"/>
      </w:pPr>
      <w:r>
        <w:t xml:space="preserve">Anexo 2. Riesgos Técnicos FNA (E-Service, 2022)</w:t>
      </w:r>
    </w:p>
    <w:p>
      <w:pPr>
        <w:numPr>
          <w:ilvl w:val="0"/>
          <w:numId w:val="1016"/>
        </w:numPr>
        <w:pStyle w:val="Compact"/>
      </w:pPr>
      <w:r>
        <w:t xml:space="preserve">*1. Riesgo de agilidad limitada (ver imagen 1)</w:t>
      </w:r>
    </w:p>
    <w:p>
      <w:pPr>
        <w:numPr>
          <w:ilvl w:val="0"/>
          <w:numId w:val="1016"/>
        </w:numPr>
        <w:pStyle w:val="Compact"/>
      </w:pPr>
      <w:r>
        <w:t xml:space="preserve">*2. Riesgo de baja orquestación SOA (ver imagen 2a y 2b)</w:t>
      </w:r>
    </w:p>
    <w:p>
      <w:pPr>
        <w:numPr>
          <w:ilvl w:val="0"/>
          <w:numId w:val="1016"/>
        </w:numPr>
        <w:pStyle w:val="Compact"/>
      </w:pPr>
      <w:r>
        <w:t xml:space="preserve">*3. Riesgo de crecimiento de dependencias entre servicios SOA</w:t>
      </w:r>
    </w:p>
    <w:p>
      <w:pPr>
        <w:numPr>
          <w:ilvl w:val="0"/>
          <w:numId w:val="1016"/>
        </w:numPr>
        <w:pStyle w:val="Compact"/>
      </w:pPr>
      <w:r>
        <w:t xml:space="preserve">*4. Riesgo de crecimiento de adaptadores particulares –opuesto al estándar– (ver imagen 3)</w:t>
      </w:r>
    </w:p>
    <w:p>
      <w:pPr>
        <w:numPr>
          <w:ilvl w:val="0"/>
          <w:numId w:val="1016"/>
        </w:numPr>
        <w:pStyle w:val="Compact"/>
      </w:pPr>
      <w:r>
        <w:t xml:space="preserve">*5. Riesgo de baja reutilización de servicios SOA</w:t>
      </w:r>
    </w:p>
    <w:p>
      <w:pPr>
        <w:numPr>
          <w:ilvl w:val="0"/>
          <w:numId w:val="1016"/>
        </w:numPr>
        <w:pStyle w:val="Compact"/>
      </w:pPr>
      <w:r>
        <w:t xml:space="preserve">*6. Riesgo de permanencia de aplicaciones silos</w:t>
      </w:r>
    </w:p>
    <w:p>
      <w:pPr>
        <w:numPr>
          <w:ilvl w:val="0"/>
          <w:numId w:val="1016"/>
        </w:numPr>
        <w:pStyle w:val="Compact"/>
      </w:pPr>
      <w:r>
        <w:t xml:space="preserve">*7. Riesgo de falta de trazabilidad para la evolución e implementación de los servicios SOA</w:t>
      </w:r>
    </w:p>
    <w:p>
      <w:r>
        <w:pict>
          <v:rect style="width:0;height:1.5pt" o:hralign="center" o:hrstd="t" o:hr="t"/>
        </w:pict>
      </w:r>
    </w:p>
    <w:bookmarkEnd w:id="85"/>
    <w:bookmarkStart w:id="90" w:name="referencias"/>
    <w:p>
      <w:pPr>
        <w:pStyle w:val="Ttulo2"/>
      </w:pPr>
      <w:r>
        <w:t xml:space="preserve">Referencias</w:t>
      </w:r>
    </w:p>
    <w:bookmarkStart w:id="86" w:name="refs"/>
    <w:p>
      <w:pPr>
        <w:pStyle w:val="Bibliography"/>
      </w:pPr>
      <w:r>
        <w:t xml:space="preserve">E-Service. Situación SOA Actual del FNA. Etapa I. (2022).</w:t>
      </w:r>
    </w:p>
    <w:bookmarkEnd w:id="86"/>
    <w:bookmarkStart w:id="87" w:name="refs"/>
    <w:p>
      <w:pPr>
        <w:pStyle w:val="Bibliography"/>
      </w:pPr>
      <w:r>
        <w:t xml:space="preserve">E-Service. Arquitectura de Referencia del FNA. Etapa II. (2023).</w:t>
      </w:r>
    </w:p>
    <w:bookmarkEnd w:id="87"/>
    <w:bookmarkStart w:id="88" w:name="refs"/>
    <w:p>
      <w:pPr>
        <w:pStyle w:val="Bibliography"/>
      </w:pPr>
      <w:r>
        <w:t xml:space="preserve">E-Service. Hoja de Ruta e Iniciativas. Etapa III. (2023).</w:t>
      </w:r>
    </w:p>
    <w:bookmarkEnd w:id="88"/>
    <w:bookmarkStart w:id="89" w:name="refs"/>
    <w:p>
      <w:pPr>
        <w:pStyle w:val="Bibliography"/>
      </w:pPr>
      <w:r>
        <w:t xml:space="preserve">TOGAF 9.1. Risk Management (2023). En https://pubs.opengroup.org/architecture/togaf9-doc/arch/chap27.html</w:t>
      </w:r>
    </w:p>
    <w:bookmarkEnd w:id="89"/>
    <w:bookmarkEnd w:id="90"/>
    <w:bookmarkEnd w:id="9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7">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57" Target="media/rId57.png" /><Relationship Type="http://schemas.openxmlformats.org/officeDocument/2006/relationships/image" Id="rId73" Target="media/rId7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8"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3319b5c88503b2884b0835d7b84439f33214fba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8"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3319b5c88503b2884b0835d7b84439f33214fba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2023-06-15T20:57:32Z</dcterms:created>
  <dcterms:modified xsi:type="dcterms:W3CDTF">2023-06-15T20:57:32Z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