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48.gif" ContentType="image/gif"/>
  <Override PartName="/word/media/rId91.png" ContentType="image/png"/>
  <Override PartName="/word/media/rId165.png" ContentType="image/png"/>
  <Override PartName="/word/media/rId104.png" ContentType="image/png"/>
  <Override PartName="/word/media/rId112.png" ContentType="image/png"/>
  <Override PartName="/word/media/rId118.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40.png" ContentType="image/png"/>
  <Override PartName="/word/media/rId34.jpg" ContentType="image/jpeg"/>
  <Override PartName="/word/media/rId1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STEF@48cbdd6</w:t>
        </w:r>
      </w:hyperlink>
      <w:r>
        <w:t xml:space="preserve"> </w:t>
      </w:r>
      <w:r>
        <w:t xml:space="preserve">del June 27, 2023.</w:t>
      </w:r>
      <w:r>
        <w:t xml:space="preserve"> </w:t>
      </w:r>
    </w:p>
    <w:p>
      <w:pPr>
        <w:pStyle w:val="Textoindependiente"/>
      </w:pPr>
      <w:r>
        <w:t xml:space="preserve">   </w:t>
      </w:r>
      <w:r>
        <w:rPr>
          <w:bCs/>
          <w:b/>
        </w:rPr>
        <w:t xml:space="preserve">Versión</w:t>
      </w:r>
      <w:r>
        <w:t xml:space="preserve"> </w:t>
      </w:r>
      <w:r>
        <w:t xml:space="preserve">del producto 1.48cbdd6 de 27 Jun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1.48cbdd6 del 27 Jun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Jun 2023</w:t>
      </w:r>
    </w:p>
    <w:p>
      <w:pPr>
        <w:pStyle w:val="Textodebloque"/>
      </w:pPr>
      <w:r>
        <w:rPr>
          <w:bCs/>
          <w:b/>
        </w:rPr>
        <w:t xml:space="preserve">Versión</w:t>
      </w:r>
      <w:r>
        <w:t xml:space="preserve"> </w:t>
      </w:r>
      <w:r>
        <w:t xml:space="preserve">1.48cbdd6</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05de59a9-c61a-4fae-bf49-97028d8da239"/>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1.48cbdd6</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evolutición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ef04b9f6-d77e-4441-ae11-adf7de45750f"/>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1.48cbdd6</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6ff10cf7-c334-4b5e-a254-16ae5dbaa9e1"/>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332814d3-a365-41c5-bfe4-dc669c4257d4"/>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fcbaddf0-3bc9-4d8a-97f6-cc28c6b25a6a"/>
    <w:p>
      <w:pPr>
        <w:pStyle w:val="CaptionedFigure"/>
      </w:pPr>
      <w:bookmarkStart w:id="72" w:name="fig:"/>
      <w:r>
        <w:drawing>
          <wp:inline>
            <wp:extent cx="5600700" cy="4177941"/>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177941"/>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Ahora incorporamos en el modelo de gobierno del FNA el resultado del diagnóstico de susceptibilidad de gobierno realizado sobre los flujos críticos de trabajo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17b17899-f9b9-4851-96d6-44b3c86b7075"/>
    <w:p>
      <w:pPr>
        <w:pStyle w:val="CaptionedFigure"/>
      </w:pPr>
      <w:bookmarkStart w:id="78" w:name="fig:"/>
      <w:r>
        <w:drawing>
          <wp:inline>
            <wp:extent cx="5600700" cy="3879326"/>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879326"/>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los 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 &lt;&gt;</w:t>
            </w:r>
          </w:p>
        </w:tc>
        <w:tc>
          <w:tcPr/>
          <w:p>
            <w:pPr>
              <w:pStyle w:val="Compact"/>
              <w:jc w:val="left"/>
            </w:pPr>
            <w:r>
              <w:t xml:space="preserve">application-interaction</w:t>
            </w:r>
          </w:p>
        </w:tc>
        <w:tc>
          <w:tcPr/>
          <w:p>
            <w:pPr>
              <w:pStyle w:val="Compact"/>
            </w:pPr>
          </w:p>
        </w:tc>
      </w:tr>
    </w:tbl>
    <w:bookmarkEnd w:id="79"/>
    <w:bookmarkEnd w:id="0"/>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1.48cbdd6</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desarrolama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ad00b09d-4c26-47cd-babd-03ff3a1a4cc2"/>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1.48cbdd6</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(LOAF) es quien recibe, y puede objetar, los requerimiento de arquitecura que convierte en una Declaración de Trabajo de Arquitectura (DTA) mediante métodos estándares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inician los análisis requeridos por el gobierno.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997"/>
        <w:gridCol w:w="6922"/>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1.48cbdd6</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Normnalizar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áticas-de-colaboración"/>
    <w:p>
      <w:pPr>
        <w:pStyle w:val="Ttulo2"/>
      </w:pPr>
      <w:r>
        <w:t xml:space="preserve">Problemáticas de Colaboración</w:t>
      </w:r>
    </w:p>
    <w:p>
      <w:pPr>
        <w:pStyle w:val="FirstParagraph"/>
      </w:pPr>
      <w:r>
        <w:t xml:space="preserve">Existen tres problemáticas exclusivas de la creación de modelos, en general, pero que son más cuestionables para los profesionales de arquitectura de de todos los dominios, software, datos, etc. Estas se presnetan en la forma cómo colaboran al momento de documentar, aumentar detalle, o gestionar las versiones de los modelos.</w:t>
      </w:r>
    </w:p>
    <w:p>
      <w:pPr>
        <w:pStyle w:val="Textoindependiente"/>
      </w:pPr>
      <w:r>
        <w:t xml:space="preserve">Son señales de problemas de colaboarción en el modelamiento de arquitectura</w:t>
      </w:r>
    </w:p>
    <w:p>
      <w:pPr>
        <w:numPr>
          <w:ilvl w:val="0"/>
          <w:numId w:val="1011"/>
        </w:numPr>
        <w:pStyle w:val="Compact"/>
      </w:pPr>
      <w:r>
        <w:rPr>
          <w:bCs/>
          <w:b/>
        </w:rPr>
        <w:t xml:space="preserve">Fragmentación</w:t>
      </w:r>
      <w:r>
        <w:t xml:space="preserve">. Equipos de arquitectura sepadaros en distintas empresas, grupos o divisiones físicas o administrativas y con poca o nada comunicación.</w:t>
      </w:r>
    </w:p>
    <w:p>
      <w:pPr>
        <w:numPr>
          <w:ilvl w:val="0"/>
          <w:numId w:val="1011"/>
        </w:numPr>
        <w:pStyle w:val="Compact"/>
      </w:pPr>
      <w:r>
        <w:rPr>
          <w:bCs/>
          <w:b/>
        </w:rPr>
        <w:t xml:space="preserve">Aislammiento</w:t>
      </w:r>
      <w:r>
        <w:t xml:space="preserve">. Áreas de arquitectura trabajando de manera solitaria crean y usan diferentes estilos, estándares, relacionamiento y niveles de detalle de modelamiento.</w:t>
      </w:r>
    </w:p>
    <w:p>
      <w:pPr>
        <w:numPr>
          <w:ilvl w:val="0"/>
          <w:numId w:val="1011"/>
        </w:numPr>
        <w:pStyle w:val="Compact"/>
      </w:pPr>
      <w:r>
        <w:rPr>
          <w:bCs/>
          <w:b/>
        </w:rPr>
        <w:t xml:space="preserve">Desapropiamiento</w:t>
      </w:r>
      <w:r>
        <w:t xml:space="preserve">. La falta de autoría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5d29784-b6d0-4b30-a442-0f2649f5f042"/>
    <w:p>
      <w:pPr>
        <w:pStyle w:val="CaptionedFigure"/>
      </w:pPr>
      <w:bookmarkStart w:id="107" w:name="fig:"/>
      <w:r>
        <w:drawing>
          <wp:inline>
            <wp:extent cx="5600700" cy="4438729"/>
            <wp:effectExtent b="0" l="0" r="0" t="0"/>
            <wp:docPr descr="Imagen 9: alt 1. Actividades y relaciones de los estados de un flujo de trabajo de la oficina de arquitectura con arreglo al proceso ADM de TOGAF. Flujo para los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4438729"/>
                    </a:xfrm>
                    <a:prstGeom prst="rect">
                      <a:avLst/>
                    </a:prstGeom>
                    <a:noFill/>
                    <a:ln w="9525">
                      <a:noFill/>
                      <a:headEnd/>
                      <a:tailEnd/>
                    </a:ln>
                  </pic:spPr>
                </pic:pic>
              </a:graphicData>
            </a:graphic>
          </wp:inline>
        </w:drawing>
      </w:r>
      <w:bookmarkEnd w:id="107"/>
    </w:p>
    <w:p>
      <w:pPr>
        <w:pStyle w:val="ImageCaption"/>
      </w:pPr>
      <w:r>
        <w:t xml:space="preserve">Imagen 9: alt 1. Actividades y relaciones de los estados de un flujo de trabajo de la oficina de arquitectura con arreglo al proceso ADM de TOGAF. Flujo para los requerimientos internos de la oficina de arquitectura del FNA.</w:t>
      </w:r>
    </w:p>
    <w:bookmarkEnd w:id="0"/>
    <w:p>
      <w:pPr>
        <w:pStyle w:val="Textoindependiente"/>
      </w:pPr>
      <w:r>
        <w:rPr>
          <w:iCs/>
          <w:i/>
        </w:rPr>
        <w:t xml:space="preserve">Fuente: Elaboración propia.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1980"/>
        <w:gridCol w:w="1113"/>
        <w:gridCol w:w="4826"/>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w:t>
            </w:r>
            <w:r>
              <w:t xml:space="preserve"> </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el paso del arquitecto de solución son paquetes de funcionalidad definidos por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90da382d-b3ed-46bf-9a87-e49ee37273eb"/>
    <w:p>
      <w:pPr>
        <w:pStyle w:val="CaptionedFigure"/>
      </w:pPr>
      <w:bookmarkStart w:id="115" w:name="fig:"/>
      <w:r>
        <w:drawing>
          <wp:inline>
            <wp:extent cx="5600700" cy="4304538"/>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4304538"/>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1.48cbdd6</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16"/>
    <w:bookmarkEnd w:id="117"/>
    <w:bookmarkStart w:id="123"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Estos son, a saber:</w:t>
      </w:r>
    </w:p>
    <w:p>
      <w:pPr>
        <w:numPr>
          <w:ilvl w:val="0"/>
          <w:numId w:val="1020"/>
        </w:numPr>
        <w:pStyle w:val="SourceCode"/>
      </w:pPr>
      <w:r>
        <w:rPr>
          <w:rStyle w:val="VerbatimChar"/>
        </w:rPr>
        <w:t xml:space="preserve">Dado los niveles de complejidad que el FNA ha alcanzado y por los riesgos tecnológico que contraen las partes analizadas en la Fase 1 de este diagnóstico (...)</w:t>
      </w:r>
    </w:p>
    <w:p>
      <w:pPr>
        <w:numPr>
          <w:ilvl w:val="0"/>
          <w:numId w:val="1020"/>
        </w:numPr>
        <w:pStyle w:val="SourceCode"/>
      </w:pPr>
      <w:r>
        <w:rPr>
          <w:rStyle w:val="VerbatimChar"/>
        </w:rPr>
        <w:t xml:space="preserve">De las problemáticas encontradas en la Fase 1 del presente diagnóstico, (...))explícitamente a las que incrementan la complejidad de las soluciones tecnológicas y de software del FNA, _como lo es el manejo de dependencias de los servicios SOA del Fondo_. Es muy conocido que esta condición es la causa de la mayoría de los sobreesfuerzos en los cambios y de las dificultades a la hora de predecir su impacto.</w:t>
      </w:r>
    </w:p>
    <w:p>
      <w:pPr>
        <w:numPr>
          <w:ilvl w:val="0"/>
          <w:numId w:val="1020"/>
        </w:numPr>
        <w:pStyle w:val="SourceCode"/>
      </w:pPr>
      <w:r>
        <w:rPr>
          <w:rStyle w:val="VerbatimChar"/>
        </w:rP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22"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4dc854eb-5e9d-4060-af1c-086acd8dac44"/>
    <w:p>
      <w:pPr>
        <w:pStyle w:val="CaptionedFigure"/>
      </w:pPr>
      <w:bookmarkStart w:id="121" w:name="fig:"/>
      <w:r>
        <w:drawing>
          <wp:inline>
            <wp:extent cx="5600700" cy="4089497"/>
            <wp:effectExtent b="0" l="0" r="0" t="0"/>
            <wp:docPr descr="Imagen 11: Funciones operativas de la Oficina de Arquitectura del FNA. Operaciones solicitadas a la oficina." title="" id="119" name="Picture"/>
            <a:graphic>
              <a:graphicData uri="http://schemas.openxmlformats.org/drawingml/2006/picture">
                <pic:pic>
                  <pic:nvPicPr>
                    <pic:cNvPr descr="images/funcionesof.png" id="120" name="Picture"/>
                    <pic:cNvPicPr>
                      <a:picLocks noChangeArrowheads="1" noChangeAspect="1"/>
                    </pic:cNvPicPr>
                  </pic:nvPicPr>
                  <pic:blipFill>
                    <a:blip r:embed="rId118"/>
                    <a:stretch>
                      <a:fillRect/>
                    </a:stretch>
                  </pic:blipFill>
                  <pic:spPr bwMode="auto">
                    <a:xfrm>
                      <a:off x="0" y="0"/>
                      <a:ext cx="5600700" cy="4089497"/>
                    </a:xfrm>
                    <a:prstGeom prst="rect">
                      <a:avLst/>
                    </a:prstGeom>
                    <a:noFill/>
                    <a:ln w="9525">
                      <a:noFill/>
                      <a:headEnd/>
                      <a:tailEnd/>
                    </a:ln>
                  </pic:spPr>
                </pic:pic>
              </a:graphicData>
            </a:graphic>
          </wp:inline>
        </w:drawing>
      </w:r>
      <w:bookmarkEnd w:id="121"/>
    </w:p>
    <w:p>
      <w:pPr>
        <w:pStyle w:val="ImageCaption"/>
      </w:pPr>
      <w:r>
        <w:t xml:space="preserve">Imagen 11: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p>
      <w:pPr>
        <w:numPr>
          <w:ilvl w:val="0"/>
          <w:numId w:val="1021"/>
        </w:numPr>
      </w:pPr>
      <w:r>
        <w:t xml:space="preserve">Centralizar. La funciónd 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p>
      <w:pPr>
        <w:numPr>
          <w:ilvl w:val="0"/>
          <w:numId w:val="1021"/>
        </w:numPr>
      </w:pPr>
      <w:r>
        <w:t xml:space="preserve">Diagnosticar / Solución (modelar). La función de diagnósticar y modelar una solución es la función central de la oficina. Se debe a que todos los resultados que la oficina produce están basados en modelos, y en hechos objetivos, alejándose de la habitual intuición y el juicio apresurado.</w:t>
      </w:r>
    </w:p>
    <w:p>
      <w:pPr>
        <w:numPr>
          <w:ilvl w:val="0"/>
          <w:numId w:val="1021"/>
        </w:numPr>
      </w:pPr>
      <w:r>
        <w:t xml:space="preserve">Distribuir (compartir). La función de distribuir (que equivale a la función de compartir) es la gestión de las entrega de los productos de trabajo y resultados de las funciones anteriores.</w:t>
      </w:r>
    </w:p>
    <w:p>
      <w:pPr>
        <w:pStyle w:val="FirstParagraph"/>
      </w:pPr>
    </w:p>
    <w:bookmarkEnd w:id="122"/>
    <w:bookmarkEnd w:id="123"/>
    <w:bookmarkStart w:id="134" w:name="X0518fec7b45c7879917cf27723e9702132f2754"/>
    <w:p>
      <w:pPr>
        <w:pStyle w:val="Ttulo1"/>
      </w:pPr>
      <w:r>
        <w:t xml:space="preserve">Responsabilidades de la Oficina de Arquitectura</w:t>
      </w:r>
    </w:p>
    <w:bookmarkStart w:id="128"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2"/>
        </w:numPr>
        <w:pStyle w:val="Compact"/>
      </w:pPr>
      <w:r>
        <w:t xml:space="preserve">RESPC01. Vigilancia de alineación negocio-arquitectura</w:t>
      </w:r>
    </w:p>
    <w:p>
      <w:pPr>
        <w:numPr>
          <w:ilvl w:val="0"/>
          <w:numId w:val="1022"/>
        </w:numPr>
        <w:pStyle w:val="Compact"/>
      </w:pPr>
      <w:r>
        <w:t xml:space="preserve">RESPC02. Equilibrio arquitectura y procesos SOA</w:t>
      </w:r>
    </w:p>
    <w:p>
      <w:pPr>
        <w:numPr>
          <w:ilvl w:val="0"/>
          <w:numId w:val="1022"/>
        </w:numPr>
        <w:pStyle w:val="Compact"/>
      </w:pPr>
      <w:r>
        <w:t xml:space="preserve">RESPC03. Supervisión de efectividad y factibilidad SOA</w:t>
      </w:r>
    </w:p>
    <w:p>
      <w:pPr>
        <w:numPr>
          <w:ilvl w:val="0"/>
          <w:numId w:val="1022"/>
        </w:numPr>
        <w:pStyle w:val="Compact"/>
      </w:pPr>
      <w:r>
        <w:t xml:space="preserve">RESPC04. Mejora de los índices de efectividad (madurez) SOA</w:t>
      </w:r>
    </w:p>
    <w:p>
      <w:pPr>
        <w:numPr>
          <w:ilvl w:val="0"/>
          <w:numId w:val="1022"/>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d20698bc-cecd-4361-a679-a9b397b4a856"/>
    <w:p>
      <w:pPr>
        <w:pStyle w:val="CaptionedFigure"/>
      </w:pPr>
      <w:bookmarkStart w:id="127" w:name="fig:"/>
      <w:r>
        <w:drawing>
          <wp:inline>
            <wp:extent cx="5600700" cy="4402410"/>
            <wp:effectExtent b="0" l="0" r="0" t="0"/>
            <wp:docPr descr="Imagen 12: Funciones (responsabilidades) de la Oficina de Arquitectura del FNA. Gobierno SOA, v0.5." title="" id="125" name="Picture"/>
            <a:graphic>
              <a:graphicData uri="http://schemas.openxmlformats.org/drawingml/2006/picture">
                <pic:pic>
                  <pic:nvPicPr>
                    <pic:cNvPr descr="images/responsabilidadgob.png" id="126" name="Picture"/>
                    <pic:cNvPicPr>
                      <a:picLocks noChangeArrowheads="1" noChangeAspect="1"/>
                    </pic:cNvPicPr>
                  </pic:nvPicPr>
                  <pic:blipFill>
                    <a:blip r:embed="rId124"/>
                    <a:stretch>
                      <a:fillRect/>
                    </a:stretch>
                  </pic:blipFill>
                  <pic:spPr bwMode="auto">
                    <a:xfrm>
                      <a:off x="0" y="0"/>
                      <a:ext cx="5600700" cy="4402410"/>
                    </a:xfrm>
                    <a:prstGeom prst="rect">
                      <a:avLst/>
                    </a:prstGeom>
                    <a:noFill/>
                    <a:ln w="9525">
                      <a:noFill/>
                      <a:headEnd/>
                      <a:tailEnd/>
                    </a:ln>
                  </pic:spPr>
                </pic:pic>
              </a:graphicData>
            </a:graphic>
          </wp:inline>
        </w:drawing>
      </w:r>
      <w:bookmarkEnd w:id="127"/>
    </w:p>
    <w:p>
      <w:pPr>
        <w:pStyle w:val="ImageCaption"/>
      </w:pPr>
      <w:r>
        <w:t xml:space="preserve">Imagen 12: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28"/>
    <w:bookmarkStart w:id="129" w:name="X9a4995a2dce7dd649f71e6943a0b2610c978b6f"/>
    <w:p>
      <w:pPr>
        <w:pStyle w:val="Ttulo2"/>
      </w:pPr>
      <w:r>
        <w:t xml:space="preserve">Vigilancia de alineación negocio-arquitectura</w:t>
      </w:r>
    </w:p>
    <w:bookmarkEnd w:id="129"/>
    <w:bookmarkStart w:id="130" w:name="equilibrio-arquitectura-y-procesos-soa"/>
    <w:p>
      <w:pPr>
        <w:pStyle w:val="Ttulo2"/>
      </w:pPr>
      <w:r>
        <w:t xml:space="preserve">Equilibrio arquitectura y procesos SOA</w:t>
      </w:r>
    </w:p>
    <w:bookmarkEnd w:id="130"/>
    <w:bookmarkStart w:id="131" w:name="X9e585d85ac198fb4fa428defd3c13593f667a0e"/>
    <w:p>
      <w:pPr>
        <w:pStyle w:val="Ttulo2"/>
      </w:pPr>
      <w:r>
        <w:t xml:space="preserve">Supervisión de efectividad y factibilidad SOA</w:t>
      </w:r>
    </w:p>
    <w:bookmarkEnd w:id="131"/>
    <w:bookmarkStart w:id="132" w:name="Xcf3fb5954575e9f517c883c7c5b2a445b0eccea"/>
    <w:p>
      <w:pPr>
        <w:pStyle w:val="Ttulo2"/>
      </w:pPr>
      <w:r>
        <w:t xml:space="preserve">Mejora de los índices de efectividad (madurez) SOA</w:t>
      </w:r>
    </w:p>
    <w:bookmarkEnd w:id="132"/>
    <w:bookmarkStart w:id="133" w:name="Xc1322487bb449403080f53ca37d5f186008267f"/>
    <w:p>
      <w:pPr>
        <w:pStyle w:val="Ttulo2"/>
      </w:pPr>
      <w:r>
        <w:t xml:space="preserve">Consideraciones para la puesta en marcha del gobierno SOA en el FNA</w:t>
      </w:r>
    </w:p>
    <w:p>
      <w:pPr>
        <w:pStyle w:val="FirstParagraph"/>
      </w:pPr>
    </w:p>
    <w:bookmarkEnd w:id="133"/>
    <w:bookmarkEnd w:id="134"/>
    <w:bookmarkStart w:id="139" w:name="X67abd20a76571bb02b16b680bb41d18952f9118"/>
    <w:p>
      <w:pPr>
        <w:pStyle w:val="Ttulo1"/>
      </w:pPr>
      <w:r>
        <w:t xml:space="preserve">Roles y Responsabilidades de la Oficina de Arquitectura</w:t>
      </w:r>
    </w:p>
    <w:bookmarkStart w:id="138"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35"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35"/>
    <w:bookmarkEnd w:id="0"/>
    <w:p>
      <w:pPr>
        <w:pStyle w:val="Textoindependiente"/>
      </w:pPr>
    </w:p>
    <w:bookmarkStart w:id="0" w:name="tbl:ptexigidos-id"/>
    <w:bookmarkStart w:id="136"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36"/>
    <w:bookmarkEnd w:id="0"/>
    <w:bookmarkStart w:id="0" w:name="tbl:accexigidos-id"/>
    <w:bookmarkStart w:id="137"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37"/>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1.48cbdd6 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38"/>
    <w:bookmarkEnd w:id="139"/>
    <w:bookmarkStart w:id="156"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cb6a9159-9559-4e67-9f22-1d08340c7361"/>
    <w:p>
      <w:pPr>
        <w:pStyle w:val="CaptionedFigure"/>
      </w:pPr>
      <w:bookmarkStart w:id="143" w:name="fig:"/>
      <w:r>
        <w:drawing>
          <wp:inline>
            <wp:extent cx="5600700" cy="3900354"/>
            <wp:effectExtent b="0" l="0" r="0" t="0"/>
            <wp:docPr descr="Imagen 13: Actividades y relaciones del proceso principal de gobierno SOA para el FNA. Relación con capacidades y objetivos SOA necesarios para el FNA." title="" id="141" name="Picture"/>
            <a:graphic>
              <a:graphicData uri="http://schemas.openxmlformats.org/drawingml/2006/picture">
                <pic:pic>
                  <pic:nvPicPr>
                    <pic:cNvPr descr="images/proceso-gob.png" id="142" name="Picture"/>
                    <pic:cNvPicPr>
                      <a:picLocks noChangeArrowheads="1" noChangeAspect="1"/>
                    </pic:cNvPicPr>
                  </pic:nvPicPr>
                  <pic:blipFill>
                    <a:blip r:embed="rId140"/>
                    <a:stretch>
                      <a:fillRect/>
                    </a:stretch>
                  </pic:blipFill>
                  <pic:spPr bwMode="auto">
                    <a:xfrm>
                      <a:off x="0" y="0"/>
                      <a:ext cx="5600700" cy="3900354"/>
                    </a:xfrm>
                    <a:prstGeom prst="rect">
                      <a:avLst/>
                    </a:prstGeom>
                    <a:noFill/>
                    <a:ln w="9525">
                      <a:noFill/>
                      <a:headEnd/>
                      <a:tailEnd/>
                    </a:ln>
                  </pic:spPr>
                </pic:pic>
              </a:graphicData>
            </a:graphic>
          </wp:inline>
        </w:drawing>
      </w:r>
      <w:bookmarkEnd w:id="143"/>
    </w:p>
    <w:p>
      <w:pPr>
        <w:pStyle w:val="ImageCaption"/>
      </w:pPr>
      <w:r>
        <w:t xml:space="preserve">Imagen 13: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44" w:name="gestión-del-cambio-e-impacto-incepción"/>
    <w:p>
      <w:pPr>
        <w:pStyle w:val="Ttulo2"/>
      </w:pPr>
      <w:r>
        <w:t xml:space="preserve">Gestión del Cambio e Impacto (incepción)</w:t>
      </w:r>
    </w:p>
    <w:p>
      <w:pPr>
        <w:pStyle w:val="FirstParagraph"/>
      </w:pPr>
      <w:r>
        <w:t xml:space="preserve">Es la definición del alcance del reajuste en la arquitectura, distinto a un cambio en una aplicación, sistema de información, datos o plataforma del FNA. el cambio a gestionar debe ser analizado desde la perspectiva de la arquitectura actual o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44"/>
    <w:bookmarkStart w:id="145"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bookmarkEnd w:id="145"/>
    <w:bookmarkStart w:id="146" w:name="X1dff0e18553c7791a6591965f046615447427d7"/>
    <w:p>
      <w:pPr>
        <w:pStyle w:val="Ttulo2"/>
      </w:pPr>
      <w:r>
        <w:t xml:space="preserve">Anexo 1. Susceptibilidades de Gobierno (PR01)</w:t>
      </w:r>
    </w:p>
    <w:p>
      <w:pPr>
        <w:numPr>
          <w:ilvl w:val="0"/>
          <w:numId w:val="1023"/>
        </w:numPr>
        <w:pStyle w:val="Compact"/>
      </w:pPr>
      <w:r>
        <w:t xml:space="preserve">Debilidad en la Completitud de los CU</w:t>
      </w:r>
    </w:p>
    <w:p>
      <w:pPr>
        <w:numPr>
          <w:ilvl w:val="0"/>
          <w:numId w:val="1023"/>
        </w:numPr>
        <w:pStyle w:val="Compact"/>
      </w:pPr>
      <w:r>
        <w:t xml:space="preserve">Herramientas y Métodos de QA relacionados con sistemas distribuidos y QA​</w:t>
      </w:r>
    </w:p>
    <w:p>
      <w:pPr>
        <w:numPr>
          <w:ilvl w:val="0"/>
          <w:numId w:val="1023"/>
        </w:numPr>
        <w:pStyle w:val="Compact"/>
      </w:pPr>
      <w:r>
        <w:t xml:space="preserve">Normalización y fortalecimiento de los ambientes QA ​</w:t>
      </w:r>
    </w:p>
    <w:p>
      <w:pPr>
        <w:numPr>
          <w:ilvl w:val="0"/>
          <w:numId w:val="1023"/>
        </w:numPr>
        <w:pStyle w:val="Compact"/>
      </w:pPr>
      <w:r>
        <w:t xml:space="preserve">Gestión del diseño y arquitecturas: categorización de complejidad​</w:t>
      </w:r>
    </w:p>
    <w:p>
      <w:pPr>
        <w:numPr>
          <w:ilvl w:val="0"/>
          <w:numId w:val="1023"/>
        </w:numPr>
        <w:pStyle w:val="Compact"/>
      </w:pPr>
      <w:r>
        <w:t xml:space="preserve">Correspondencia complejidad - diseño</w:t>
      </w:r>
    </w:p>
    <w:p>
      <w:pPr>
        <w:numPr>
          <w:ilvl w:val="0"/>
          <w:numId w:val="1023"/>
        </w:numPr>
        <w:pStyle w:val="Compact"/>
      </w:pPr>
      <w:r>
        <w:t xml:space="preserve">Débil (o inexistente) procedimiento de evaluación de inversión​</w:t>
      </w:r>
    </w:p>
    <w:p>
      <w:pPr>
        <w:numPr>
          <w:ilvl w:val="0"/>
          <w:numId w:val="1023"/>
        </w:numPr>
        <w:pStyle w:val="Compact"/>
      </w:pPr>
      <w:r>
        <w:t xml:space="preserve">Débil (o inexistente) formalidad para el cálculo de eficacia un inversión​ TI, proveedores</w:t>
      </w:r>
    </w:p>
    <w:p>
      <w:pPr>
        <w:numPr>
          <w:ilvl w:val="0"/>
          <w:numId w:val="1023"/>
        </w:numPr>
        <w:pStyle w:val="Compact"/>
      </w:pPr>
      <w:r>
        <w:t xml:space="preserve">Normnalizar registro de resultados de las entregas de proveedores​ (confiabilidad)</w:t>
      </w:r>
    </w:p>
    <w:p>
      <w:pPr>
        <w:numPr>
          <w:ilvl w:val="0"/>
          <w:numId w:val="1023"/>
        </w:numPr>
        <w:pStyle w:val="Compact"/>
      </w:pPr>
      <w:r>
        <w:t xml:space="preserve">Asignación de responsables de gestión de las inversiones de TI</w:t>
      </w:r>
    </w:p>
    <w:p>
      <w:pPr>
        <w:pStyle w:val="FirstParagraph"/>
      </w:pPr>
    </w:p>
    <w:bookmarkEnd w:id="146"/>
    <w:bookmarkStart w:id="147" w:name="Xd820393e281519037d62de8a6e14b7ac62e8045"/>
    <w:p>
      <w:pPr>
        <w:pStyle w:val="Ttulo2"/>
      </w:pPr>
      <w:r>
        <w:t xml:space="preserve">Anexo 2. Riesgos Técnicos FNA (E-Service, 2022)</w:t>
      </w:r>
    </w:p>
    <w:p>
      <w:pPr>
        <w:numPr>
          <w:ilvl w:val="0"/>
          <w:numId w:val="1024"/>
        </w:numPr>
        <w:pStyle w:val="Compact"/>
      </w:pPr>
      <w:r>
        <w:t xml:space="preserve">R01. Riesgo de agilidad limitada (ver imagen 1)</w:t>
      </w:r>
    </w:p>
    <w:p>
      <w:pPr>
        <w:numPr>
          <w:ilvl w:val="0"/>
          <w:numId w:val="1024"/>
        </w:numPr>
        <w:pStyle w:val="Compact"/>
      </w:pPr>
      <w:r>
        <w:t xml:space="preserve">R02. Riesgo de baja orquestación SOA (ver imagen 2a y 2b)</w:t>
      </w:r>
    </w:p>
    <w:p>
      <w:pPr>
        <w:numPr>
          <w:ilvl w:val="0"/>
          <w:numId w:val="1024"/>
        </w:numPr>
        <w:pStyle w:val="Compact"/>
      </w:pPr>
      <w:r>
        <w:t xml:space="preserve">R03. Riesgo de crecimiento de dependencias entre servicios SOA</w:t>
      </w:r>
    </w:p>
    <w:p>
      <w:pPr>
        <w:numPr>
          <w:ilvl w:val="0"/>
          <w:numId w:val="1024"/>
        </w:numPr>
        <w:pStyle w:val="Compact"/>
      </w:pPr>
      <w:r>
        <w:t xml:space="preserve">R04. Riesgo de crecimiento de adaptadores particulares –opuesto al estándar– (ver imagen 3)</w:t>
      </w:r>
    </w:p>
    <w:p>
      <w:pPr>
        <w:numPr>
          <w:ilvl w:val="0"/>
          <w:numId w:val="1024"/>
        </w:numPr>
        <w:pStyle w:val="Compact"/>
      </w:pPr>
      <w:r>
        <w:t xml:space="preserve">R05. Riesgo de baja reutilización de servicios SOA</w:t>
      </w:r>
    </w:p>
    <w:p>
      <w:pPr>
        <w:numPr>
          <w:ilvl w:val="0"/>
          <w:numId w:val="1024"/>
        </w:numPr>
        <w:pStyle w:val="Compact"/>
      </w:pPr>
      <w:r>
        <w:t xml:space="preserve">R06. Riesgo de permanencia de aplicaciones silos</w:t>
      </w:r>
    </w:p>
    <w:p>
      <w:pPr>
        <w:numPr>
          <w:ilvl w:val="0"/>
          <w:numId w:val="1024"/>
        </w:numPr>
        <w:pStyle w:val="Compact"/>
      </w:pPr>
      <w:r>
        <w:t xml:space="preserve">R07. Riesgo de falta de trazabilidad para la evolución e implementación de los servicios SOA</w:t>
      </w:r>
    </w:p>
    <w:bookmarkEnd w:id="147"/>
    <w:bookmarkStart w:id="152"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408f8fe8-1262-4bcf-8a2c-7057221ee56e"/>
    <w:p>
      <w:pPr>
        <w:pStyle w:val="CaptionedFigure"/>
      </w:pPr>
      <w:bookmarkStart w:id="151" w:name="fig:"/>
      <w:r>
        <w:drawing>
          <wp:inline>
            <wp:extent cx="4406900" cy="5791200"/>
            <wp:effectExtent b="0" l="0" r="0" t="0"/>
            <wp:docPr descr="Imagen 14: TOGAF 9, Fase G, Implementation governance para la implementación de las capacidades de ejecución de hojas de ruta del FNA." title="" id="149" name="Picture"/>
            <a:graphic>
              <a:graphicData uri="http://schemas.openxmlformats.org/drawingml/2006/picture">
                <pic:pic>
                  <pic:nvPicPr>
                    <pic:cNvPr descr="images/adm.gif" id="150" name="Picture"/>
                    <pic:cNvPicPr>
                      <a:picLocks noChangeArrowheads="1" noChangeAspect="1"/>
                    </pic:cNvPicPr>
                  </pic:nvPicPr>
                  <pic:blipFill>
                    <a:blip r:embed="rId148"/>
                    <a:stretch>
                      <a:fillRect/>
                    </a:stretch>
                  </pic:blipFill>
                  <pic:spPr bwMode="auto">
                    <a:xfrm>
                      <a:off x="0" y="0"/>
                      <a:ext cx="4406900" cy="5791200"/>
                    </a:xfrm>
                    <a:prstGeom prst="rect">
                      <a:avLst/>
                    </a:prstGeom>
                    <a:noFill/>
                    <a:ln w="9525">
                      <a:noFill/>
                      <a:headEnd/>
                      <a:tailEnd/>
                    </a:ln>
                  </pic:spPr>
                </pic:pic>
              </a:graphicData>
            </a:graphic>
          </wp:inline>
        </w:drawing>
      </w:r>
      <w:bookmarkEnd w:id="151"/>
    </w:p>
    <w:p>
      <w:pPr>
        <w:pStyle w:val="ImageCaption"/>
      </w:pPr>
      <w:r>
        <w:t xml:space="preserve">Imagen 14: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52"/>
    <w:bookmarkStart w:id="155" w:name="X99591b604a3494c6910274ca6ad62f3fe7e80af"/>
    <w:p>
      <w:pPr>
        <w:pStyle w:val="Ttulo2"/>
      </w:pPr>
      <w:r>
        <w:t xml:space="preserve">Anexo.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53" w:name="especificaciones"/>
    <w:p>
      <w:pPr>
        <w:pStyle w:val="Ttulo3"/>
      </w:pPr>
      <w:r>
        <w:t xml:space="preserve">Especificaciones</w:t>
      </w:r>
    </w:p>
    <w:p>
      <w:pPr>
        <w:numPr>
          <w:ilvl w:val="0"/>
          <w:numId w:val="1025"/>
        </w:numPr>
        <w:pStyle w:val="Compact"/>
      </w:pPr>
      <w:r>
        <w:t xml:space="preserve">Tipo de contenido: texto</w:t>
      </w:r>
    </w:p>
    <w:p>
      <w:pPr>
        <w:numPr>
          <w:ilvl w:val="0"/>
          <w:numId w:val="1025"/>
        </w:numPr>
        <w:pStyle w:val="Compact"/>
      </w:pPr>
      <w:r>
        <w:t xml:space="preserve">Documento versionado</w:t>
      </w:r>
    </w:p>
    <w:p>
      <w:pPr>
        <w:numPr>
          <w:ilvl w:val="0"/>
          <w:numId w:val="1025"/>
        </w:numPr>
        <w:pStyle w:val="Compact"/>
      </w:pPr>
      <w:r>
        <w:t xml:space="preserve">Referencias a partes y elementos del modelo</w:t>
      </w:r>
    </w:p>
    <w:p>
      <w:pPr>
        <w:numPr>
          <w:ilvl w:val="0"/>
          <w:numId w:val="1025"/>
        </w:numPr>
        <w:pStyle w:val="Compact"/>
      </w:pPr>
      <w:r>
        <w:t xml:space="preserve">Referencias a imágenes y contenidos del repositorio de arquitectura FNA</w:t>
      </w:r>
    </w:p>
    <w:bookmarkEnd w:id="153"/>
    <w:bookmarkStart w:id="154" w:name="formato"/>
    <w:p>
      <w:pPr>
        <w:pStyle w:val="Ttulo3"/>
      </w:pPr>
      <w:r>
        <w:t xml:space="preserve">Formato</w:t>
      </w:r>
    </w:p>
    <w:p>
      <w:pPr>
        <w:pStyle w:val="FirstParagraph"/>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27 Jun 2023</w:t>
      </w:r>
    </w:p>
    <w:p>
      <w:pPr>
        <w:pStyle w:val="Textodebloque"/>
      </w:pPr>
      <w:r>
        <w:rPr>
          <w:bCs/>
          <w:b/>
        </w:rPr>
        <w:t xml:space="preserve">Versión</w:t>
      </w:r>
      <w:r>
        <w:t xml:space="preserve"> </w:t>
      </w:r>
      <w:r>
        <w:t xml:space="preserve">1.48cbdd6</w:t>
      </w:r>
    </w:p>
    <w:p>
      <w:pPr>
        <w:pStyle w:val="FirstParagraph"/>
      </w:pPr>
    </w:p>
    <w:bookmarkEnd w:id="154"/>
    <w:bookmarkEnd w:id="155"/>
    <w:bookmarkEnd w:id="156"/>
    <w:bookmarkStart w:id="164"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57"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57"/>
    <w:bookmarkStart w:id="158" w:name="contenidos-1"/>
    <w:p>
      <w:pPr>
        <w:pStyle w:val="Ttulo2"/>
      </w:pPr>
      <w:r>
        <w:t xml:space="preserve">Contenidos</w:t>
      </w:r>
    </w:p>
    <w:p>
      <w:pPr>
        <w:numPr>
          <w:ilvl w:val="0"/>
          <w:numId w:val="1026"/>
        </w:numPr>
        <w:pStyle w:val="Compact"/>
      </w:pPr>
      <w:r>
        <w:t xml:space="preserve">Modelo operativo del Comité de Gobierno de Arquitecturas del FNA: ámbitos y alcances del comité</w:t>
      </w:r>
    </w:p>
    <w:p>
      <w:pPr>
        <w:numPr>
          <w:ilvl w:val="0"/>
          <w:numId w:val="1026"/>
        </w:numPr>
        <w:pStyle w:val="Compact"/>
      </w:pPr>
      <w:r>
        <w:t xml:space="preserve">Consideraciones para la puesta en marcha de la bitácora de decisiones de arquitectura</w:t>
      </w:r>
    </w:p>
    <w:p>
      <w:pPr>
        <w:numPr>
          <w:ilvl w:val="0"/>
          <w:numId w:val="1026"/>
        </w:numPr>
        <w:pStyle w:val="Compact"/>
      </w:pPr>
      <w:r>
        <w:t xml:space="preserve">Respositorio y gestión de los requerimientos de arquitectura del FNA (flexibilidad, confiabilidad, rendimiento, mantenibilidad)</w:t>
      </w:r>
    </w:p>
    <w:p>
      <w:pPr>
        <w:numPr>
          <w:ilvl w:val="0"/>
          <w:numId w:val="1026"/>
        </w:numPr>
        <w:pStyle w:val="Compact"/>
      </w:pPr>
      <w:r>
        <w:t xml:space="preserve">Métodos de evaluación de arquitecturas para el FNA</w:t>
      </w:r>
    </w:p>
    <w:p>
      <w:pPr>
        <w:pStyle w:val="FirstParagraph"/>
      </w:pPr>
    </w:p>
    <w:bookmarkEnd w:id="158"/>
    <w:bookmarkStart w:id="159" w:name="criterios-de-aceptación-1"/>
    <w:p>
      <w:pPr>
        <w:pStyle w:val="Ttulo2"/>
      </w:pPr>
      <w:r>
        <w:t xml:space="preserve">Criterios de Aceptación</w:t>
      </w:r>
    </w:p>
    <w:p>
      <w:pPr>
        <w:numPr>
          <w:ilvl w:val="0"/>
          <w:numId w:val="1027"/>
        </w:numPr>
        <w:pStyle w:val="Compact"/>
      </w:pPr>
      <w:r>
        <w:t xml:space="preserve">Especificaciones de la bitácora de decisiones de arquitectura</w:t>
      </w:r>
    </w:p>
    <w:p>
      <w:pPr>
        <w:numPr>
          <w:ilvl w:val="0"/>
          <w:numId w:val="1027"/>
        </w:numPr>
        <w:pStyle w:val="Compact"/>
      </w:pPr>
      <w:r>
        <w:t xml:space="preserve">Especificaciones de funcionamiento del Comité de Gobierno de Arquitecturas del FNA</w:t>
      </w:r>
    </w:p>
    <w:p>
      <w:pPr>
        <w:numPr>
          <w:ilvl w:val="0"/>
          <w:numId w:val="1027"/>
        </w:numPr>
        <w:pStyle w:val="Compact"/>
      </w:pPr>
      <w:r>
        <w:t xml:space="preserve">Esquema de comunicación y publicación de cambios a las arquitecturas del FNA</w:t>
      </w:r>
    </w:p>
    <w:p>
      <w:pPr>
        <w:pStyle w:val="FirstParagraph"/>
      </w:pPr>
    </w:p>
    <w:bookmarkEnd w:id="159"/>
    <w:bookmarkStart w:id="163" w:name="modelo-de-implementación-del-pry01-1"/>
    <w:p>
      <w:pPr>
        <w:pStyle w:val="Ttulo2"/>
      </w:pPr>
      <w:r>
        <w:t xml:space="preserve">Modelo de Implementación del PRY01</w:t>
      </w:r>
    </w:p>
    <w:bookmarkStart w:id="0" w:name="fig:37744d41-e929-406a-abbb-13a5c22d099a"/>
    <w:p>
      <w:pPr>
        <w:pStyle w:val="CaptionedFigure"/>
      </w:pPr>
      <w:bookmarkStart w:id="162" w:name="fig:"/>
      <w:r>
        <w:drawing>
          <wp:inline>
            <wp:extent cx="5600700" cy="4499951"/>
            <wp:effectExtent b="0" l="0" r="0" t="0"/>
            <wp:docPr descr="Imagen 15: Plan de Implementación del Proyecto Hoja de Ruta E-Service FNA, 2023. Abril 2023 a Agosto 2023" title="" id="160" name="Picture"/>
            <a:graphic>
              <a:graphicData uri="http://schemas.openxmlformats.org/drawingml/2006/picture">
                <pic:pic>
                  <pic:nvPicPr>
                    <pic:cNvPr descr="images/pry1gobierno.jpg" id="161"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62"/>
    </w:p>
    <w:p>
      <w:pPr>
        <w:pStyle w:val="ImageCaption"/>
      </w:pPr>
      <w:r>
        <w:t xml:space="preserve">Imagen 15: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Modelo operativo del Comité de Gobierno</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1.48cbdd6</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63"/>
    <w:bookmarkEnd w:id="164"/>
    <w:bookmarkStart w:id="175" w:name="el-comité-de-arquitectura-del-fna"/>
    <w:p>
      <w:pPr>
        <w:pStyle w:val="Ttulo1"/>
      </w:pPr>
      <w:r>
        <w:t xml:space="preserve">El Comité de Arquitectura del FNA</w:t>
      </w:r>
    </w:p>
    <w:p>
      <w:pPr>
        <w:pStyle w:val="FirstParagraph"/>
      </w:pPr>
      <w:r>
        <w:t xml:space="preserve">Otro de los instrumentos en donde se materializa el gobierno SOA, objeto de este proyecto, es el comité de revisión y de trabajos de arquitectura. El comité de arquitectura contribuye al gobierno en el sentido de que abarca aspectos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071cf873-3a6e-4155-b706-6fc75d53981e"/>
    <w:p>
      <w:pPr>
        <w:pStyle w:val="CaptionedFigure"/>
      </w:pPr>
      <w:bookmarkStart w:id="168" w:name="fig:"/>
      <w:r>
        <w:drawing>
          <wp:inline>
            <wp:extent cx="5600700" cy="8039247"/>
            <wp:effectExtent b="0" l="0" r="0" t="0"/>
            <wp:docPr descr="Imagen 16: Comité de Arquitectura en colaboración y cumplimiento con otras áreas del FNA." title="" id="166" name="Picture"/>
            <a:graphic>
              <a:graphicData uri="http://schemas.openxmlformats.org/drawingml/2006/picture">
                <pic:pic>
                  <pic:nvPicPr>
                    <pic:cNvPr descr="images/comiteModelo.png" id="167" name="Picture"/>
                    <pic:cNvPicPr>
                      <a:picLocks noChangeArrowheads="1" noChangeAspect="1"/>
                    </pic:cNvPicPr>
                  </pic:nvPicPr>
                  <pic:blipFill>
                    <a:blip r:embed="rId165"/>
                    <a:stretch>
                      <a:fillRect/>
                    </a:stretch>
                  </pic:blipFill>
                  <pic:spPr bwMode="auto">
                    <a:xfrm>
                      <a:off x="0" y="0"/>
                      <a:ext cx="5600700" cy="8039247"/>
                    </a:xfrm>
                    <a:prstGeom prst="rect">
                      <a:avLst/>
                    </a:prstGeom>
                    <a:noFill/>
                    <a:ln w="9525">
                      <a:noFill/>
                      <a:headEnd/>
                      <a:tailEnd/>
                    </a:ln>
                  </pic:spPr>
                </pic:pic>
              </a:graphicData>
            </a:graphic>
          </wp:inline>
        </w:drawing>
      </w:r>
      <w:bookmarkEnd w:id="168"/>
    </w:p>
    <w:p>
      <w:pPr>
        <w:pStyle w:val="ImageCaption"/>
      </w:pPr>
      <w:r>
        <w:t xml:space="preserve">Imagen 16: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Start w:id="169"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69"/>
    <w:bookmarkStart w:id="170" w:name="objetivos-específicos-del-caf"/>
    <w:p>
      <w:pPr>
        <w:pStyle w:val="Ttulo2"/>
      </w:pPr>
      <w:r>
        <w:t xml:space="preserve">Objetivos Específicos del CAF</w:t>
      </w:r>
    </w:p>
    <w:p>
      <w:pPr>
        <w:pStyle w:val="FirstParagraph"/>
      </w:pPr>
      <w:r>
        <w:t xml:space="preserve">Para alcanzar el objetivo principal, los actores del comité deben perseguir, y gestionar, el logro de los siguientes objetivos específicos y beneficios.</w:t>
      </w:r>
    </w:p>
    <w:p>
      <w:pPr>
        <w:numPr>
          <w:ilvl w:val="0"/>
          <w:numId w:val="1028"/>
        </w:numPr>
        <w:pStyle w:val="Compact"/>
      </w:pPr>
      <w:r>
        <w:t xml:space="preserve">Guiar y priorización los esfuerzos de la oficina de arquitectura</w:t>
      </w:r>
    </w:p>
    <w:p>
      <w:pPr>
        <w:numPr>
          <w:ilvl w:val="0"/>
          <w:numId w:val="1028"/>
        </w:numPr>
        <w:pStyle w:val="Compact"/>
      </w:pPr>
      <w:r>
        <w:t xml:space="preserve">Ejercitar los roles y responsabilidades del gobierno SOA del FNA, y respaldar su supervisión y la rendición de cuentas de la oficina de arquitectura</w:t>
      </w:r>
    </w:p>
    <w:p>
      <w:pPr>
        <w:numPr>
          <w:ilvl w:val="0"/>
          <w:numId w:val="1028"/>
        </w:numPr>
        <w:pStyle w:val="Compact"/>
      </w:pPr>
      <w:r>
        <w:t xml:space="preserve">Efectivizar el proceso de toma de decisiones sobre los trabajos de arquitectura</w:t>
      </w:r>
    </w:p>
    <w:p>
      <w:pPr>
        <w:numPr>
          <w:ilvl w:val="0"/>
          <w:numId w:val="1028"/>
        </w:numPr>
        <w:pStyle w:val="Compact"/>
      </w:pPr>
      <w:r>
        <w:t xml:space="preserve">Verificar la aplicación de los métodos (procedimientos normales) de arquitectura del FNA y del gobierno SOA del FNA</w:t>
      </w:r>
    </w:p>
    <w:p>
      <w:pPr>
        <w:numPr>
          <w:ilvl w:val="0"/>
          <w:numId w:val="1028"/>
        </w:numPr>
        <w:pStyle w:val="Compact"/>
      </w:pPr>
      <w:r>
        <w:t xml:space="preserve">Fomentar el uso de herramientas de publicación automatizable por audiencia de los puntos de vista de los trabajos de arquitectura</w:t>
      </w:r>
      <w:r>
        <w:t xml:space="preserve"> </w:t>
      </w:r>
      <w:r>
        <w:t xml:space="preserve">El valor empresarial ampliado y elevado de la arquitectura en toda la empresa</w:t>
      </w:r>
    </w:p>
    <w:p>
      <w:pPr>
        <w:numPr>
          <w:ilvl w:val="0"/>
          <w:numId w:val="1028"/>
        </w:numPr>
        <w:pStyle w:val="Compact"/>
      </w:pPr>
      <w:r>
        <w:t xml:space="preserve">Procurar la visibilidad de las áreas del FNA del trabajo de la oficina de arquitectura</w:t>
      </w:r>
    </w:p>
    <w:p>
      <w:pPr>
        <w:pStyle w:val="FirstParagraph"/>
      </w:pPr>
    </w:p>
    <w:bookmarkEnd w:id="170"/>
    <w:bookmarkStart w:id="174"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71"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71"/>
    <w:bookmarkStart w:id="172"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72"/>
    <w:bookmarkStart w:id="173"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1.48cbdd6</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3"/>
    <w:bookmarkEnd w:id="174"/>
    <w:bookmarkEnd w:id="175"/>
    <w:bookmarkStart w:id="180"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79" w:name="consideraciones-para-operar-la-bitácora"/>
    <w:p>
      <w:pPr>
        <w:pStyle w:val="Ttulo2"/>
      </w:pPr>
      <w:r>
        <w:t xml:space="preserve">Consideraciones para Operar la Bitácora</w:t>
      </w:r>
    </w:p>
    <w:bookmarkStart w:id="176" w:name="X00bf8f125ad89a9be43987af53a845fc90e5b86"/>
    <w:p>
      <w:pPr>
        <w:pStyle w:val="Ttulo3"/>
      </w:pPr>
      <w:r>
        <w:t xml:space="preserve">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76"/>
    <w:bookmarkStart w:id="177" w:name="especificaciones-1"/>
    <w:p>
      <w:pPr>
        <w:pStyle w:val="Ttulo3"/>
      </w:pPr>
      <w:r>
        <w:t xml:space="preserve">Especificaciones</w:t>
      </w:r>
    </w:p>
    <w:p>
      <w:pPr>
        <w:numPr>
          <w:ilvl w:val="0"/>
          <w:numId w:val="1029"/>
        </w:numPr>
        <w:pStyle w:val="Compact"/>
      </w:pPr>
      <w:r>
        <w:t xml:space="preserve">Tipo de contenido: texto</w:t>
      </w:r>
    </w:p>
    <w:p>
      <w:pPr>
        <w:numPr>
          <w:ilvl w:val="0"/>
          <w:numId w:val="1029"/>
        </w:numPr>
        <w:pStyle w:val="Compact"/>
      </w:pPr>
      <w:r>
        <w:t xml:space="preserve">Documento versionado</w:t>
      </w:r>
    </w:p>
    <w:p>
      <w:pPr>
        <w:numPr>
          <w:ilvl w:val="0"/>
          <w:numId w:val="1029"/>
        </w:numPr>
        <w:pStyle w:val="Compact"/>
      </w:pPr>
      <w:r>
        <w:t xml:space="preserve">Referencias a partes y elementos del modelo</w:t>
      </w:r>
    </w:p>
    <w:p>
      <w:pPr>
        <w:numPr>
          <w:ilvl w:val="0"/>
          <w:numId w:val="1029"/>
        </w:numPr>
        <w:pStyle w:val="Compact"/>
      </w:pPr>
      <w:r>
        <w:t xml:space="preserve">Referencias a imágenes y contenidos del repositorio de arquitectura FNA</w:t>
      </w:r>
    </w:p>
    <w:bookmarkEnd w:id="177"/>
    <w:bookmarkStart w:id="178" w:name="formato-1"/>
    <w:p>
      <w:pPr>
        <w:pStyle w:val="Ttulo3"/>
      </w:pPr>
      <w:r>
        <w:t xml:space="preserve">Formato</w:t>
      </w:r>
    </w:p>
    <w:p>
      <w:pPr>
        <w:numPr>
          <w:ilvl w:val="0"/>
          <w:numId w:val="1030"/>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30"/>
        </w:numPr>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numPr>
          <w:ilvl w:val="0"/>
          <w:numId w:val="1030"/>
        </w:numPr>
      </w:pPr>
      <w:r>
        <w:t xml:space="preserve">Estado: Tenemos cuatro estados diferentes en los que un ADR puede ser:</w:t>
      </w:r>
    </w:p>
    <w:p>
      <w:pPr>
        <w:numPr>
          <w:ilvl w:val="1"/>
          <w:numId w:val="1031"/>
        </w:numPr>
        <w:pStyle w:val="Compact"/>
      </w:pPr>
      <w:r>
        <w:t xml:space="preserve">Abierto: Se ha registrado como un problema, es posible que aún falte información y aún no se ha iniciado la discusión.</w:t>
      </w:r>
    </w:p>
    <w:p>
      <w:pPr>
        <w:numPr>
          <w:ilvl w:val="1"/>
          <w:numId w:val="1031"/>
        </w:numPr>
        <w:pStyle w:val="Compact"/>
      </w:pPr>
      <w:r>
        <w:t xml:space="preserve">En Progreso: La discusión continúa actualmente.</w:t>
      </w:r>
    </w:p>
    <w:p>
      <w:pPr>
        <w:numPr>
          <w:ilvl w:val="1"/>
          <w:numId w:val="1031"/>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1"/>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30"/>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30"/>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30"/>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30"/>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30"/>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30"/>
        </w:numPr>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1.48cbdd6</w:t>
            </w:r>
            <w:r>
              <w:t xml:space="preserve"> </w:t>
            </w:r>
            <w:r>
              <w:t xml:space="preserve">del 27 Jun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8"/>
    <w:bookmarkEnd w:id="179"/>
    <w:bookmarkEnd w:id="180"/>
    <w:bookmarkStart w:id="181"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Para ello, los involucrados del FNA del comité podrán aplicar el siguiente método abrviado de evaluación de arquitectura (basado en ATAM, Open Group).</w:t>
      </w:r>
    </w:p>
    <w:bookmarkEnd w:id="181"/>
    <w:bookmarkStart w:id="186" w:name="referencias"/>
    <w:p>
      <w:pPr>
        <w:pStyle w:val="Ttulo1"/>
      </w:pPr>
      <w:r>
        <w:t xml:space="preserve">Referencias</w:t>
      </w:r>
    </w:p>
    <w:bookmarkStart w:id="182" w:name="refs"/>
    <w:p>
      <w:pPr>
        <w:pStyle w:val="Bibliography"/>
      </w:pPr>
      <w:r>
        <w:t xml:space="preserve">E-Service. Situación SOA Actual del FNA. Etapa I. (2022).</w:t>
      </w:r>
    </w:p>
    <w:bookmarkEnd w:id="182"/>
    <w:bookmarkStart w:id="183" w:name="refs"/>
    <w:p>
      <w:pPr>
        <w:pStyle w:val="Bibliography"/>
      </w:pPr>
      <w:r>
        <w:t xml:space="preserve">E-Service. Arquitectura de Referencia del FNA. Etapa II. (2023).</w:t>
      </w:r>
    </w:p>
    <w:bookmarkEnd w:id="183"/>
    <w:bookmarkStart w:id="184" w:name="refs"/>
    <w:p>
      <w:pPr>
        <w:pStyle w:val="Bibliography"/>
      </w:pPr>
      <w:r>
        <w:t xml:space="preserve">E-Service. Hoja de Ruta e Iniciativas. Etapa III. (2023).</w:t>
      </w:r>
    </w:p>
    <w:bookmarkEnd w:id="184"/>
    <w:bookmarkStart w:id="185" w:name="refs"/>
    <w:p>
      <w:pPr>
        <w:pStyle w:val="Bibliography"/>
      </w:pPr>
      <w:r>
        <w:t xml:space="preserve">TOGAF 9.1. Risk Management (2023). En https://pubs.opengroup.org/architecture/togaf9-doc/arch/chap27.html</w:t>
      </w:r>
    </w:p>
    <w:bookmarkEnd w:id="185"/>
    <w:bookmarkEnd w:id="186"/>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2">
    <w:abstractNumId w:val="991"/>
  </w:num>
  <w:num w:numId="102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4">
    <w:abstractNumId w:val="991"/>
  </w:num>
  <w:num w:numId="1025">
    <w:abstractNumId w:val="991"/>
  </w:num>
  <w:num w:numId="10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1"/>
  </w:num>
  <w:num w:numId="1028">
    <w:abstractNumId w:val="991"/>
  </w:num>
  <w:num w:numId="1029">
    <w:abstractNumId w:val="991"/>
  </w:num>
  <w:num w:numId="1030">
    <w:abstractNumId w:val="991"/>
  </w:num>
  <w:num w:numId="103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48" Target="media/rId148.gif" /><Relationship Type="http://schemas.openxmlformats.org/officeDocument/2006/relationships/image" Id="rId91" Target="media/rId91.png" /><Relationship Type="http://schemas.openxmlformats.org/officeDocument/2006/relationships/image" Id="rId165" Target="media/rId165.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18" Target="media/rId118.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40" Target="media/rId140.png" /><Relationship Type="http://schemas.openxmlformats.org/officeDocument/2006/relationships/image" Id="rId34" Target="media/rId34.jpg" /><Relationship Type="http://schemas.openxmlformats.org/officeDocument/2006/relationships/image" Id="rId124" Target="media/rId124.png" /><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8cbdd69a14837e4e9b9e04739722440a533e09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48cbdd69a14837e4e9b9e04739722440a533e096/"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2023-06-27T11:13:23Z</dcterms:created>
  <dcterms:modified xsi:type="dcterms:W3CDTF">2023-06-27T11:13:23Z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2023-06-27</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