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9.gif" ContentType="image/gif"/>
  <Override PartName="/word/media/rId91.png" ContentType="image/png"/>
  <Override PartName="/word/media/rId166.png" ContentType="image/png"/>
  <Override PartName="/word/media/rId104.png" ContentType="image/png"/>
  <Override PartName="/word/media/rId112.png" ContentType="image/png"/>
  <Override PartName="/word/media/rId119.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1.png" ContentType="image/png"/>
  <Override PartName="/word/media/rId34.jpg" ContentType="image/jpeg"/>
  <Override PartName="/word/media/rId1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STEF@5c72bcc</w:t>
        </w:r>
      </w:hyperlink>
      <w:r>
        <w:t xml:space="preserve"> </w:t>
      </w:r>
      <w:r>
        <w:t xml:space="preserve">del July 14, 2023.</w:t>
      </w:r>
      <w:r>
        <w:t xml:space="preserve"> </w:t>
      </w:r>
    </w:p>
    <w:p>
      <w:pPr>
        <w:pStyle w:val="Textoindependiente"/>
      </w:pPr>
      <w:r>
        <w:t xml:space="preserve">   </w:t>
      </w:r>
      <w:r>
        <w:rPr>
          <w:bCs/>
          <w:b/>
        </w:rPr>
        <w:t xml:space="preserve">Versión</w:t>
      </w:r>
      <w:r>
        <w:t xml:space="preserve"> </w:t>
      </w:r>
      <w:r>
        <w:t xml:space="preserve">del producto 1.5c72bcc de 14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1.5c72bcc del 14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Jul 2023</w:t>
      </w:r>
    </w:p>
    <w:p>
      <w:pPr>
        <w:pStyle w:val="Textodebloque"/>
      </w:pPr>
      <w:r>
        <w:rPr>
          <w:bCs/>
          <w:b/>
        </w:rPr>
        <w:t xml:space="preserve">Versión</w:t>
      </w:r>
      <w:r>
        <w:t xml:space="preserve"> </w:t>
      </w:r>
      <w:r>
        <w:t xml:space="preserve">1.5c72bcc</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8f86d151-b379-48d7-8bf1-4d45e87bc521"/>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1.5c72bcc</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aaa19b79-f1b7-4584-a823-394f75c71d72"/>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1.5c72bcc</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385096a5-efd6-4f89-ab30-c2047481e531"/>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91dd3628-2374-413e-b447-d4a4ad8e7577"/>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671daa20-7d25-4438-a81f-d33488d0425e"/>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94028f33-208d-405a-93e5-b38ae42d1b63"/>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1.5c72bcc</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b793f77f-ebcb-4bda-86cb-63f1e98c5fa6"/>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1.5c72bcc</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1.5c72bcc</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0d65dc41-e4ea-402f-9d3e-3cbee8ba2e65"/>
    <w:p>
      <w:pPr>
        <w:pStyle w:val="CaptionedFigure"/>
      </w:pPr>
      <w:bookmarkStart w:id="107" w:name="fi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07af64af-11c9-44b8-a903-363910ed5999"/>
    <w:p>
      <w:pPr>
        <w:pStyle w:val="CaptionedFigure"/>
      </w:pPr>
      <w:bookmarkStart w:id="115" w:name="fi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18" w:name="X3cb0a6aae5a5c9c0536c761d0939e0666efc03f"/>
    <w:p>
      <w:pPr>
        <w:pStyle w:val="Ttulo1"/>
      </w:pPr>
      <w:r>
        <w:t xml:space="preserve">Puntos de Control del Flujo de Trabajo de la Oficina FNA</w: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1.5c72bcc</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8"/>
    <w:bookmarkStart w:id="12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5e6c4ec8-1188-4945-bc47-2cf9bcc89f94"/>
    <w:p>
      <w:pPr>
        <w:pStyle w:val="CaptionedFigure"/>
      </w:pPr>
      <w:bookmarkStart w:id="122" w:name="fig:"/>
      <w:r>
        <w:drawing>
          <wp:inline>
            <wp:extent cx="5600700" cy="4089497"/>
            <wp:effectExtent b="0" l="0" r="0" t="0"/>
            <wp:docPr descr="Imagen 11: Funciones operativas de la Oficina de Arquitectura del FNA. Operaciones solicitadas a la oficina." title="" id="120" name="Picture"/>
            <a:graphic>
              <a:graphicData uri="http://schemas.openxmlformats.org/drawingml/2006/picture">
                <pic:pic>
                  <pic:nvPicPr>
                    <pic:cNvPr descr="images/funcionesof.png" id="121" name="Picture"/>
                    <pic:cNvPicPr>
                      <a:picLocks noChangeArrowheads="1" noChangeAspect="1"/>
                    </pic:cNvPicPr>
                  </pic:nvPicPr>
                  <pic:blipFill>
                    <a:blip r:embed="rId119"/>
                    <a:stretch>
                      <a:fillRect/>
                    </a:stretch>
                  </pic:blipFill>
                  <pic:spPr bwMode="auto">
                    <a:xfrm>
                      <a:off x="0" y="0"/>
                      <a:ext cx="5600700" cy="4089497"/>
                    </a:xfrm>
                    <a:prstGeom prst="rect">
                      <a:avLst/>
                    </a:prstGeom>
                    <a:noFill/>
                    <a:ln w="9525">
                      <a:noFill/>
                      <a:headEnd/>
                      <a:tailEnd/>
                    </a:ln>
                  </pic:spPr>
                </pic:pic>
              </a:graphicData>
            </a:graphic>
          </wp:inline>
        </w:drawing>
      </w:r>
      <w:bookmarkEnd w:id="122"/>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3"/>
    <w:bookmarkEnd w:id="124"/>
    <w:bookmarkStart w:id="135" w:name="X0518fec7b45c7879917cf27723e9702132f2754"/>
    <w:p>
      <w:pPr>
        <w:pStyle w:val="Ttulo1"/>
      </w:pPr>
      <w:r>
        <w:t xml:space="preserve">Responsabilidades de la Oficina de Arquitectura</w:t>
      </w:r>
    </w:p>
    <w:bookmarkStart w:id="12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cd139b1f-0e88-4182-99eb-a0270808bf4a"/>
    <w:p>
      <w:pPr>
        <w:pStyle w:val="CaptionedFigure"/>
      </w:pPr>
      <w:bookmarkStart w:id="128" w:name="fig:"/>
      <w:r>
        <w:drawing>
          <wp:inline>
            <wp:extent cx="5600700" cy="4402410"/>
            <wp:effectExtent b="0" l="0" r="0" t="0"/>
            <wp:docPr descr="Imagen 12: Funciones (responsabilidades) de la Oficina de Arquitectura del FNA. Gobierno SOA, v0.5." title="" id="126" name="Picture"/>
            <a:graphic>
              <a:graphicData uri="http://schemas.openxmlformats.org/drawingml/2006/picture">
                <pic:pic>
                  <pic:nvPicPr>
                    <pic:cNvPr descr="images/responsabilidadgob.png" id="127" name="Picture"/>
                    <pic:cNvPicPr>
                      <a:picLocks noChangeArrowheads="1" noChangeAspect="1"/>
                    </pic:cNvPicPr>
                  </pic:nvPicPr>
                  <pic:blipFill>
                    <a:blip r:embed="rId125"/>
                    <a:stretch>
                      <a:fillRect/>
                    </a:stretch>
                  </pic:blipFill>
                  <pic:spPr bwMode="auto">
                    <a:xfrm>
                      <a:off x="0" y="0"/>
                      <a:ext cx="5600700" cy="4402410"/>
                    </a:xfrm>
                    <a:prstGeom prst="rect">
                      <a:avLst/>
                    </a:prstGeom>
                    <a:noFill/>
                    <a:ln w="9525">
                      <a:noFill/>
                      <a:headEnd/>
                      <a:tailEnd/>
                    </a:ln>
                  </pic:spPr>
                </pic:pic>
              </a:graphicData>
            </a:graphic>
          </wp:inline>
        </w:drawing>
      </w:r>
      <w:bookmarkEnd w:id="128"/>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9"/>
    <w:bookmarkStart w:id="130" w:name="X9a4995a2dce7dd649f71e6943a0b2610c978b6f"/>
    <w:p>
      <w:pPr>
        <w:pStyle w:val="Ttulo2"/>
      </w:pPr>
      <w:r>
        <w:t xml:space="preserve">Vigilancia de alineación negocio-arquitectura</w:t>
      </w:r>
    </w:p>
    <w:bookmarkEnd w:id="130"/>
    <w:bookmarkStart w:id="131" w:name="equilibrio-arquitectura-y-procesos-soa"/>
    <w:p>
      <w:pPr>
        <w:pStyle w:val="Ttulo2"/>
      </w:pPr>
      <w:r>
        <w:t xml:space="preserve">Equilibrio arquitectura y procesos SOA</w:t>
      </w:r>
    </w:p>
    <w:bookmarkEnd w:id="131"/>
    <w:bookmarkStart w:id="132" w:name="X9e585d85ac198fb4fa428defd3c13593f667a0e"/>
    <w:p>
      <w:pPr>
        <w:pStyle w:val="Ttulo2"/>
      </w:pPr>
      <w:r>
        <w:t xml:space="preserve">Supervisión de efectividad y factibilidad SOA</w:t>
      </w:r>
    </w:p>
    <w:bookmarkEnd w:id="132"/>
    <w:bookmarkStart w:id="133" w:name="Xcf3fb5954575e9f517c883c7c5b2a445b0eccea"/>
    <w:p>
      <w:pPr>
        <w:pStyle w:val="Ttulo2"/>
      </w:pPr>
      <w:r>
        <w:t xml:space="preserve">Mejora de los índices de efectividad (madurez) SOA</w:t>
      </w:r>
    </w:p>
    <w:bookmarkEnd w:id="133"/>
    <w:bookmarkStart w:id="134" w:name="Xc1322487bb449403080f53ca37d5f186008267f"/>
    <w:p>
      <w:pPr>
        <w:pStyle w:val="Ttulo2"/>
      </w:pPr>
      <w:r>
        <w:t xml:space="preserve">Consideraciones para la puesta en marcha del gobierno SOA en el FNA</w:t>
      </w:r>
    </w:p>
    <w:p>
      <w:pPr>
        <w:pStyle w:val="FirstParagraph"/>
      </w:pPr>
    </w:p>
    <w:bookmarkEnd w:id="134"/>
    <w:bookmarkEnd w:id="135"/>
    <w:bookmarkStart w:id="140" w:name="X67abd20a76571bb02b16b680bb41d18952f9118"/>
    <w:p>
      <w:pPr>
        <w:pStyle w:val="Ttulo1"/>
      </w:pPr>
      <w:r>
        <w:t xml:space="preserve">Roles y Responsabilidades de la Oficina de Arquitectura</w:t>
      </w:r>
    </w:p>
    <w:bookmarkStart w:id="13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6"/>
    <w:bookmarkEnd w:id="0"/>
    <w:p>
      <w:pPr>
        <w:pStyle w:val="Textoindependiente"/>
      </w:pPr>
    </w:p>
    <w:bookmarkStart w:id="0" w:name="tbl:ptexigidos-id"/>
    <w:bookmarkStart w:id="13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7"/>
    <w:bookmarkEnd w:id="0"/>
    <w:bookmarkStart w:id="0" w:name="tbl:accexigidos-id"/>
    <w:bookmarkStart w:id="13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1.5c72bcc 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9"/>
    <w:bookmarkEnd w:id="140"/>
    <w:bookmarkStart w:id="15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e15cd9c4-d13c-4cf7-8295-b3aeebbb087c"/>
    <w:p>
      <w:pPr>
        <w:pStyle w:val="CaptionedFigure"/>
      </w:pPr>
      <w:bookmarkStart w:id="144" w:name="fig:"/>
      <w:r>
        <w:drawing>
          <wp:inline>
            <wp:extent cx="5600700" cy="3900354"/>
            <wp:effectExtent b="0" l="0" r="0" t="0"/>
            <wp:docPr descr="Imagen 13: Actividades y relaciones del proceso principal de gobierno SOA para el FNA. Relación con capacidades y objetivos SOA necesarios para el FNA." title="" id="142" name="Picture"/>
            <a:graphic>
              <a:graphicData uri="http://schemas.openxmlformats.org/drawingml/2006/picture">
                <pic:pic>
                  <pic:nvPicPr>
                    <pic:cNvPr descr="images/proceso-gob.png" id="143" name="Picture"/>
                    <pic:cNvPicPr>
                      <a:picLocks noChangeArrowheads="1" noChangeAspect="1"/>
                    </pic:cNvPicPr>
                  </pic:nvPicPr>
                  <pic:blipFill>
                    <a:blip r:embed="rId141"/>
                    <a:stretch>
                      <a:fillRect/>
                    </a:stretch>
                  </pic:blipFill>
                  <pic:spPr bwMode="auto">
                    <a:xfrm>
                      <a:off x="0" y="0"/>
                      <a:ext cx="5600700" cy="3900354"/>
                    </a:xfrm>
                    <a:prstGeom prst="rect">
                      <a:avLst/>
                    </a:prstGeom>
                    <a:noFill/>
                    <a:ln w="9525">
                      <a:noFill/>
                      <a:headEnd/>
                      <a:tailEnd/>
                    </a:ln>
                  </pic:spPr>
                </pic:pic>
              </a:graphicData>
            </a:graphic>
          </wp:inline>
        </w:drawing>
      </w:r>
      <w:bookmarkEnd w:id="144"/>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5"/>
    <w:bookmarkStart w:id="14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1.5c72bcc</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6"/>
    <w:bookmarkStart w:id="147"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7"/>
    <w:bookmarkStart w:id="148"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8"/>
    <w:bookmarkStart w:id="15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d4649522-d8c5-45a4-b2ba-b4e01e7462ce"/>
    <w:p>
      <w:pPr>
        <w:pStyle w:val="CaptionedFigure"/>
      </w:pPr>
      <w:bookmarkStart w:id="152" w:name="fig:"/>
      <w:r>
        <w:drawing>
          <wp:inline>
            <wp:extent cx="4406900" cy="5791200"/>
            <wp:effectExtent b="0" l="0" r="0" t="0"/>
            <wp:docPr descr="Imagen 14: TOGAF 9, Fase G, Implementation governance para la implementación de las capacidades de ejecución de hojas de ruta del FNA." title="" id="150" name="Picture"/>
            <a:graphic>
              <a:graphicData uri="http://schemas.openxmlformats.org/drawingml/2006/picture">
                <pic:pic>
                  <pic:nvPicPr>
                    <pic:cNvPr descr="images/adm.gif" id="151" name="Picture"/>
                    <pic:cNvPicPr>
                      <a:picLocks noChangeArrowheads="1" noChangeAspect="1"/>
                    </pic:cNvPicPr>
                  </pic:nvPicPr>
                  <pic:blipFill>
                    <a:blip r:embed="rId149"/>
                    <a:stretch>
                      <a:fillRect/>
                    </a:stretch>
                  </pic:blipFill>
                  <pic:spPr bwMode="auto">
                    <a:xfrm>
                      <a:off x="0" y="0"/>
                      <a:ext cx="4406900" cy="5791200"/>
                    </a:xfrm>
                    <a:prstGeom prst="rect">
                      <a:avLst/>
                    </a:prstGeom>
                    <a:noFill/>
                    <a:ln w="9525">
                      <a:noFill/>
                      <a:headEnd/>
                      <a:tailEnd/>
                    </a:ln>
                  </pic:spPr>
                </pic:pic>
              </a:graphicData>
            </a:graphic>
          </wp:inline>
        </w:drawing>
      </w:r>
      <w:bookmarkEnd w:id="152"/>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3"/>
    <w:bookmarkStart w:id="156"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4"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4"/>
    <w:bookmarkStart w:id="15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Jul 2023</w:t>
      </w:r>
    </w:p>
    <w:p>
      <w:pPr>
        <w:pStyle w:val="Textodebloque"/>
      </w:pPr>
      <w:r>
        <w:rPr>
          <w:bCs/>
          <w:b/>
        </w:rPr>
        <w:t xml:space="preserve">Versión</w:t>
      </w:r>
      <w:r>
        <w:t xml:space="preserve"> </w:t>
      </w:r>
      <w:r>
        <w:t xml:space="preserve">1.5c72bcc</w:t>
      </w:r>
    </w:p>
    <w:p>
      <w:pPr>
        <w:pStyle w:val="FirstParagraph"/>
      </w:pPr>
    </w:p>
    <w:bookmarkEnd w:id="155"/>
    <w:bookmarkEnd w:id="156"/>
    <w:bookmarkEnd w:id="157"/>
    <w:bookmarkStart w:id="16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8"/>
    <w:bookmarkStart w:id="159"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9"/>
    <w:bookmarkStart w:id="160"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60"/>
    <w:bookmarkStart w:id="164" w:name="modelo-de-implementación-del-pry01-1"/>
    <w:p>
      <w:pPr>
        <w:pStyle w:val="Ttulo2"/>
      </w:pPr>
      <w:r>
        <w:t xml:space="preserve">Modelo de Implementación del PRY01</w:t>
      </w:r>
    </w:p>
    <w:bookmarkStart w:id="0" w:name="fig:a106409a-3a00-41eb-96a6-d534c634cfe3"/>
    <w:p>
      <w:pPr>
        <w:pStyle w:val="CaptionedFigure"/>
      </w:pPr>
      <w:bookmarkStart w:id="163" w:name="fig:"/>
      <w:r>
        <w:drawing>
          <wp:inline>
            <wp:extent cx="5600700" cy="4499951"/>
            <wp:effectExtent b="0" l="0" r="0" t="0"/>
            <wp:docPr descr="Imagen 15: Plan de Implementación del Proyecto Hoja de Ruta E-Service FNA, 2023. Abril 2023 a Agosto 2023" title="" id="161" name="Picture"/>
            <a:graphic>
              <a:graphicData uri="http://schemas.openxmlformats.org/drawingml/2006/picture">
                <pic:pic>
                  <pic:nvPicPr>
                    <pic:cNvPr descr="images/pry1gobierno.jpg" id="16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3"/>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1.5c72bcc</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4"/>
    <w:bookmarkEnd w:id="165"/>
    <w:bookmarkStart w:id="177" w:name="el-comité-de-arquitectura-del-fna"/>
    <w:p>
      <w:pPr>
        <w:pStyle w:val="Ttulo1"/>
      </w:pPr>
      <w:r>
        <w:t xml:space="preserve">El Comité de Arquitectura del FNA</w:t>
      </w:r>
    </w:p>
    <w:bookmarkStart w:id="17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7d5a685e-9f63-4ed8-b6a7-788a6ac15372"/>
    <w:p>
      <w:pPr>
        <w:pStyle w:val="CaptionedFigure"/>
      </w:pPr>
      <w:bookmarkStart w:id="169" w:name="fig:"/>
      <w:r>
        <w:drawing>
          <wp:inline>
            <wp:extent cx="5600700" cy="8039247"/>
            <wp:effectExtent b="0" l="0" r="0" t="0"/>
            <wp:docPr descr="Imagen 16: Comité de Arquitectura en colaboración y cumplimiento con otras áreas del FNA." title="" id="167" name="Picture"/>
            <a:graphic>
              <a:graphicData uri="http://schemas.openxmlformats.org/drawingml/2006/picture">
                <pic:pic>
                  <pic:nvPicPr>
                    <pic:cNvPr descr="images/comiteModelo.png" id="168" name="Picture"/>
                    <pic:cNvPicPr>
                      <a:picLocks noChangeArrowheads="1" noChangeAspect="1"/>
                    </pic:cNvPicPr>
                  </pic:nvPicPr>
                  <pic:blipFill>
                    <a:blip r:embed="rId166"/>
                    <a:stretch>
                      <a:fillRect/>
                    </a:stretch>
                  </pic:blipFill>
                  <pic:spPr bwMode="auto">
                    <a:xfrm>
                      <a:off x="0" y="0"/>
                      <a:ext cx="5600700" cy="8039247"/>
                    </a:xfrm>
                    <a:prstGeom prst="rect">
                      <a:avLst/>
                    </a:prstGeom>
                    <a:noFill/>
                    <a:ln w="9525">
                      <a:noFill/>
                      <a:headEnd/>
                      <a:tailEnd/>
                    </a:ln>
                  </pic:spPr>
                </pic:pic>
              </a:graphicData>
            </a:graphic>
          </wp:inline>
        </w:drawing>
      </w:r>
      <w:bookmarkEnd w:id="169"/>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0"/>
    <w:bookmarkStart w:id="17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1"/>
    <w:bookmarkStart w:id="172"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2"/>
    <w:bookmarkStart w:id="17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3"/>
    <w:bookmarkStart w:id="17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4"/>
    <w:bookmarkStart w:id="17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1.5c72bcc</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5"/>
    <w:bookmarkEnd w:id="176"/>
    <w:bookmarkEnd w:id="177"/>
    <w:bookmarkStart w:id="18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2" w:name="consideraciones-para-operar-la-bitácora"/>
    <w:p>
      <w:pPr>
        <w:pStyle w:val="Ttulo2"/>
      </w:pPr>
      <w:r>
        <w:t xml:space="preserve">Consideraciones para Operar la Bitácora</w:t>
      </w:r>
    </w:p>
    <w:bookmarkStart w:id="17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8"/>
    <w:bookmarkStart w:id="17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9"/>
    <w:bookmarkStart w:id="180"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80"/>
    <w:bookmarkStart w:id="181"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1.5c72bcc</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1"/>
    <w:bookmarkEnd w:id="182"/>
    <w:bookmarkEnd w:id="183"/>
    <w:bookmarkStart w:id="19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85" w:name="escenarios"/>
    <w:p>
      <w:pPr>
        <w:pStyle w:val="Ttulo3"/>
      </w:pPr>
      <w:r>
        <w:t xml:space="preserve">Escenarios</w:t>
      </w:r>
    </w:p>
    <w:p>
      <w:pPr>
        <w:pStyle w:val="FirstParagraph"/>
      </w:pPr>
      <w:r>
        <w:t xml:space="preserve">Los escenarios de evaluación, en este contexto, son las operaciones más usadas por el negocio.</w:t>
      </w:r>
    </w:p>
    <w:bookmarkEnd w:id="185"/>
    <w:bookmarkStart w:id="18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86"/>
      </w:r>
    </w:p>
    <w:p>
      <w:r>
        <w:br w:type="page"/>
      </w:r>
    </w:p>
    <w:bookmarkEnd w:id="188"/>
    <w:bookmarkEnd w:id="189"/>
    <w:bookmarkEnd w:id="190"/>
    <w:bookmarkStart w:id="195" w:name="referencias"/>
    <w:p>
      <w:pPr>
        <w:pStyle w:val="Ttulo1"/>
      </w:pPr>
      <w:r>
        <w:t xml:space="preserve">Referencias</w:t>
      </w:r>
    </w:p>
    <w:bookmarkStart w:id="191" w:name="refs"/>
    <w:p>
      <w:pPr>
        <w:pStyle w:val="Bibliography"/>
      </w:pPr>
      <w:r>
        <w:t xml:space="preserve">E-Service. Situación SOA Actual del FNA. Etapa I. (2022).</w:t>
      </w:r>
    </w:p>
    <w:bookmarkEnd w:id="191"/>
    <w:bookmarkStart w:id="192" w:name="refs"/>
    <w:p>
      <w:pPr>
        <w:pStyle w:val="Bibliography"/>
      </w:pPr>
      <w:r>
        <w:t xml:space="preserve">E-Service. Arquitectura de Referencia del FNA. Etapa II. (2023).</w:t>
      </w:r>
    </w:p>
    <w:bookmarkEnd w:id="192"/>
    <w:bookmarkStart w:id="193" w:name="refs"/>
    <w:p>
      <w:pPr>
        <w:pStyle w:val="Bibliography"/>
      </w:pPr>
      <w:r>
        <w:t xml:space="preserve">E-Service. Hoja de Ruta e Iniciativas. Etapa III. (2023).</w:t>
      </w:r>
    </w:p>
    <w:bookmarkEnd w:id="193"/>
    <w:bookmarkStart w:id="194" w:name="refs"/>
    <w:p>
      <w:pPr>
        <w:pStyle w:val="Bibliography"/>
      </w:pPr>
      <w:r>
        <w:t xml:space="preserve">TOGAF 9.1. Risk Management (2023). En https://pubs.opengroup.org/architecture/togaf9-doc/arch/chap27.html</w:t>
      </w:r>
    </w:p>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6">
    <w:p>
      <w:pPr>
        <w:pStyle w:val="Textonotapie"/>
      </w:pPr>
      <w:r>
        <w:rPr>
          <w:rStyle w:val="Refdenotaalpie"/>
        </w:rPr>
        <w:footnoteRef/>
      </w:r>
      <w:r>
        <w:t xml:space="preserve"> </w:t>
      </w:r>
      <w:hyperlink r:id="rId18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9" Target="media/rId149.gif" /><Relationship Type="http://schemas.openxmlformats.org/officeDocument/2006/relationships/image" Id="rId91" Target="media/rId91.png" /><Relationship Type="http://schemas.openxmlformats.org/officeDocument/2006/relationships/image" Id="rId166" Target="media/rId16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1" Target="media/rId141.png" /><Relationship Type="http://schemas.openxmlformats.org/officeDocument/2006/relationships/image" Id="rId34" Target="media/rId34.jpg" /><Relationship Type="http://schemas.openxmlformats.org/officeDocument/2006/relationships/image" Id="rId125" Target="media/rId125.png" /><Relationship Type="http://schemas.openxmlformats.org/officeDocument/2006/relationships/hyperlink" Id="rId100" Target="../../fna-dd-f2-pry1/content/01a3.flujos.md" TargetMode="External" /><Relationship Type="http://schemas.openxmlformats.org/officeDocument/2006/relationships/hyperlink" Id="rId18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5c72bcccc73ba6df32536fb018000af45c60ff2b/" TargetMode="External" /><Relationship Type="http://schemas.openxmlformats.org/officeDocument/2006/relationships/hyperlink" Id="rId18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5c72bcccc73ba6df32536fb018000af45c60ff2b/" TargetMode="External" /><Relationship Type="http://schemas.openxmlformats.org/officeDocument/2006/relationships/hyperlink" Id="rId18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2023-07-14T18:05:08Z</dcterms:created>
  <dcterms:modified xsi:type="dcterms:W3CDTF">2023-07-14T18:05:08Z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