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58.png" ContentType="image/png"/>
  <Override PartName="/word/media/rId63.png" ContentType="image/png"/>
  <Override PartName="/word/media/rId45.png" ContentType="image/png"/>
  <Override PartName="/word/media/rId51.png" ContentType="image/png"/>
  <Override PartName="/word/media/rId34.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p>
      <w:pPr>
        <w:pStyle w:val="FirstParagraph"/>
      </w:pPr>
      <w:r>
        <w:t xml:space="preserve">Este producto PR02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STEF@66ac3d3</w:t>
        </w:r>
      </w:hyperlink>
      <w:r>
        <w:t xml:space="preserve"> </w:t>
      </w:r>
      <w:r>
        <w:t xml:space="preserve">del June 14, 2023.</w:t>
      </w:r>
      <w:r>
        <w:t xml:space="preserve"> </w:t>
      </w:r>
    </w:p>
    <w:p>
      <w:pPr>
        <w:pStyle w:val="Textoindependiente"/>
      </w:pPr>
      <w:r>
        <w:t xml:space="preserve">   </w:t>
      </w:r>
      <w:r>
        <w:rPr>
          <w:bCs/>
          <w:b/>
        </w:rPr>
        <w:t xml:space="preserve">Versión</w:t>
      </w:r>
      <w:r>
        <w:t xml:space="preserve"> </w:t>
      </w:r>
      <w:r>
        <w:t xml:space="preserve">del producto 1.66ac3d3 de 14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2 (PR02)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1.66ac3d3 del 14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FirstParagraph"/>
      </w:pPr>
      <w:r>
        <w:t xml:space="preserve">{.page_break_before}</w: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14 Jun 2023</w:t>
      </w:r>
    </w:p>
    <w:p>
      <w:pPr>
        <w:pStyle w:val="Textodebloque"/>
      </w:pPr>
      <w:r>
        <w:rPr>
          <w:bCs/>
          <w:b/>
        </w:rPr>
        <w:t xml:space="preserve">Versión</w:t>
      </w:r>
      <w:r>
        <w:t xml:space="preserve"> </w:t>
      </w:r>
      <w:r>
        <w:t xml:space="preserve">1.66ac3d3</w:t>
      </w:r>
    </w:p>
    <w:p>
      <w:pPr>
        <w:pStyle w:val="FirstParagraph"/>
      </w:pPr>
    </w:p>
    <w:bookmarkEnd w:id="30"/>
    <w:bookmarkStart w:id="81" w:name="Xdda5c74ac564ff62fba556343a9eb1a85a19480"/>
    <w:p>
      <w:pPr>
        <w:pStyle w:val="Ttulo1"/>
      </w:pPr>
      <w:r>
        <w:t xml:space="preserve">Producto 2: PR02. Modelo de Gobierno.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31"/>
    <w:bookmarkStart w:id="32" w:name="contenidos"/>
    <w:p>
      <w:pPr>
        <w:pStyle w:val="Ttulo2"/>
      </w:pPr>
      <w:r>
        <w:t xml:space="preserve">Contenidos</w:t>
      </w:r>
    </w:p>
    <w:p>
      <w:pPr>
        <w:numPr>
          <w:ilvl w:val="0"/>
          <w:numId w:val="1002"/>
        </w:numPr>
        <w:pStyle w:val="Compact"/>
      </w:pPr>
      <w:r>
        <w:t xml:space="preserve">Modelo de gobierno SOA del FNA: actores, información y procedimientos</w:t>
      </w:r>
    </w:p>
    <w:p>
      <w:pPr>
        <w:numPr>
          <w:ilvl w:val="0"/>
          <w:numId w:val="1002"/>
        </w:numPr>
        <w:pStyle w:val="Compact"/>
      </w:pPr>
      <w:r>
        <w:t xml:space="preserve">Flujo de trabajo de oficina de arquitectura del FNA</w:t>
      </w:r>
    </w:p>
    <w:p>
      <w:pPr>
        <w:numPr>
          <w:ilvl w:val="0"/>
          <w:numId w:val="1002"/>
        </w:numPr>
        <w:pStyle w:val="Compact"/>
      </w:pPr>
      <w:r>
        <w:t xml:space="preserve">Matriz de responsabilidades oficina de arquitectura</w:t>
      </w:r>
    </w:p>
    <w:p>
      <w:pPr>
        <w:numPr>
          <w:ilvl w:val="0"/>
          <w:numId w:val="1002"/>
        </w:numPr>
        <w:pStyle w:val="Compact"/>
      </w:pPr>
      <w:r>
        <w:t xml:space="preserve">Procedimientos base del modelo de gobierno / oficina de arquitectura</w:t>
      </w:r>
    </w:p>
    <w:p>
      <w:pPr>
        <w:numPr>
          <w:ilvl w:val="0"/>
          <w:numId w:val="1002"/>
        </w:numPr>
        <w:pStyle w:val="Compact"/>
      </w:pPr>
      <w:r>
        <w:t xml:space="preserve">Anexos. Referencia documental del Gobierno SOA del FNA</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Entendimiento funcional y operativa de la oficina de arquitectura FNA</w:t>
      </w:r>
    </w:p>
    <w:p>
      <w:pPr>
        <w:numPr>
          <w:ilvl w:val="0"/>
          <w:numId w:val="1003"/>
        </w:numPr>
        <w:pStyle w:val="Compact"/>
      </w:pPr>
      <w:r>
        <w:t xml:space="preserve">Matriz de roles y procedimientos de la oficina de arquitetura FNA</w:t>
      </w:r>
    </w:p>
    <w:p>
      <w:pPr>
        <w:pStyle w:val="FirstParagraph"/>
      </w:pPr>
    </w:p>
    <w:bookmarkEnd w:id="33"/>
    <w:bookmarkStart w:id="40" w:name="modelo-de-implementación-del-pry01"/>
    <w:p>
      <w:pPr>
        <w:pStyle w:val="Ttulo2"/>
      </w:pPr>
      <w:r>
        <w:t xml:space="preserve">Modelo de Implementación del PRY01</w:t>
      </w:r>
    </w:p>
    <w:bookmarkStart w:id="0" w:name="fig:073b4d3c-9763-46a6-97c0-7bd140ab589c"/>
    <w:p>
      <w:pPr>
        <w:pStyle w:val="CaptionedFigure"/>
      </w:pPr>
      <w:bookmarkStart w:id="37" w:name="fig:"/>
      <w:r>
        <w:drawing>
          <wp:inline>
            <wp:extent cx="5600700" cy="449995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1gobierno.jpg" id="3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1.66ac3d3</w:t>
            </w:r>
            <w:r>
              <w:t xml:space="preserve"> </w:t>
            </w:r>
            <w:r>
              <w:t xml:space="preserve">del 14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40"/>
    <w:bookmarkStart w:id="42"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41">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42"/>
    <w:bookmarkStart w:id="44"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43">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44"/>
    <w:bookmarkStart w:id="49"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eb26c771-2a0f-48d1-a963-421875f0468c"/>
    <w:p>
      <w:pPr>
        <w:pStyle w:val="CaptionedFigure"/>
      </w:pPr>
      <w:bookmarkStart w:id="48" w:name="fig:"/>
      <w:r>
        <w:drawing>
          <wp:inline>
            <wp:extent cx="5600700" cy="4485837"/>
            <wp:effectExtent b="0" l="0" r="0" t="0"/>
            <wp:docPr descr="Imagen 2: Modelo de Gobierno SOA del FNA, emisión inicial, versión 0.2. Gestiona la evolución de las arquitecturas de servicios SOA." title="" id="46" name="Picture"/>
            <a:graphic>
              <a:graphicData uri="http://schemas.openxmlformats.org/drawingml/2006/picture">
                <pic:pic>
                  <pic:nvPicPr>
                    <pic:cNvPr descr="images/modelo-gob.png" id="47" name="Picture"/>
                    <pic:cNvPicPr>
                      <a:picLocks noChangeArrowheads="1" noChangeAspect="1"/>
                    </pic:cNvPicPr>
                  </pic:nvPicPr>
                  <pic:blipFill>
                    <a:blip r:embed="rId45"/>
                    <a:stretch>
                      <a:fillRect/>
                    </a:stretch>
                  </pic:blipFill>
                  <pic:spPr bwMode="auto">
                    <a:xfrm>
                      <a:off x="0" y="0"/>
                      <a:ext cx="5600700" cy="4485837"/>
                    </a:xfrm>
                    <a:prstGeom prst="rect">
                      <a:avLst/>
                    </a:prstGeom>
                    <a:noFill/>
                    <a:ln w="9525">
                      <a:noFill/>
                      <a:headEnd/>
                      <a:tailEnd/>
                    </a:ln>
                  </pic:spPr>
                </pic:pic>
              </a:graphicData>
            </a:graphic>
          </wp:inline>
        </w:drawing>
      </w:r>
      <w:bookmarkEnd w:id="48"/>
    </w:p>
    <w:p>
      <w:pPr>
        <w:pStyle w:val="ImageCaption"/>
      </w:pPr>
      <w:r>
        <w:t xml:space="preserve">Imagen 2: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49"/>
    <w:bookmarkStart w:id="56"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5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ae839662-bb3b-4c5e-a028-fbae0988da47"/>
    <w:p>
      <w:pPr>
        <w:pStyle w:val="CaptionedFigure"/>
      </w:pPr>
      <w:bookmarkStart w:id="54" w:name="fig:"/>
      <w:r>
        <w:drawing>
          <wp:inline>
            <wp:extent cx="914400" cy="633359"/>
            <wp:effectExtent b="0" l="0" r="0" t="0"/>
            <wp:docPr descr="Imagen 3: Versión 0.5 del Modelo de Gobierno del FNA." title="" id="52" name="Picture"/>
            <a:graphic>
              <a:graphicData uri="http://schemas.openxmlformats.org/drawingml/2006/picture">
                <pic:pic>
                  <pic:nvPicPr>
                    <pic:cNvPr descr="images/modelogob05.png" id="53" name="Picture"/>
                    <pic:cNvPicPr>
                      <a:picLocks noChangeArrowheads="1" noChangeAspect="1"/>
                    </pic:cNvPicPr>
                  </pic:nvPicPr>
                  <pic:blipFill>
                    <a:blip r:embed="rId51"/>
                    <a:stretch>
                      <a:fillRect/>
                    </a:stretch>
                  </pic:blipFill>
                  <pic:spPr bwMode="auto">
                    <a:xfrm>
                      <a:off x="0" y="0"/>
                      <a:ext cx="914400" cy="633359"/>
                    </a:xfrm>
                    <a:prstGeom prst="rect">
                      <a:avLst/>
                    </a:prstGeom>
                    <a:noFill/>
                    <a:ln w="9525">
                      <a:noFill/>
                      <a:headEnd/>
                      <a:tailEnd/>
                    </a:ln>
                  </pic:spPr>
                </pic:pic>
              </a:graphicData>
            </a:graphic>
          </wp:inline>
        </w:drawing>
      </w:r>
      <w:bookmarkEnd w:id="54"/>
    </w:p>
    <w:p>
      <w:pPr>
        <w:pStyle w:val="ImageCaption"/>
      </w:pPr>
      <w:r>
        <w:t xml:space="preserve">Imagen 3: Versión 0.5 del Modelo de Gobierno del FNA.</w:t>
      </w:r>
    </w:p>
    <w:bookmarkEnd w:id="0"/>
    <w:p>
      <w:pPr>
        <w:pStyle w:val="Textoindependiente"/>
      </w:pPr>
      <w:r>
        <w:rPr>
          <w:iCs/>
          <w:i/>
        </w:rPr>
        <w:t xml:space="preserve">Fuente: Elaboración propia.</w:t>
      </w:r>
    </w:p>
    <w:p>
      <w:pPr>
        <w:pStyle w:val="Textoindependiente"/>
      </w:pPr>
    </w:p>
    <w:bookmarkStart w:id="55" w:name="Xa414ec3b4e2b3c7ebfcbcbc67ca5647409b6ff0"/>
    <w:p>
      <w:pPr>
        <w:pStyle w:val="Ttulo4"/>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Objetivos, Capacidades y Funciones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1.66ac3d3</w:t>
            </w:r>
            <w:r>
              <w:t xml:space="preserve"> </w:t>
            </w:r>
            <w:r>
              <w:t xml:space="preserve">del 14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55"/>
    <w:bookmarkEnd w:id="56"/>
    <w:bookmarkStart w:id="57" w:name="Xd4446c28c4cc2a918d752f1fc75abcca3927be6"/>
    <w:p>
      <w:pPr>
        <w:pStyle w:val="Ttulo2"/>
      </w:pPr>
      <w:r>
        <w:t xml:space="preserve">Definición de Objetivos, Funciones y Capacidades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9">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9">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9">
        <w:r>
          <w:rPr>
            <w:rStyle w:val="Hipervnculo"/>
          </w:rPr>
          <w:t xml:space="preserve">04b.Resumen Fase 1</w:t>
        </w:r>
      </w:hyperlink>
      <w:r>
        <w:t xml:space="preserve">).</w:t>
      </w:r>
    </w:p>
    <w:p>
      <w:pPr>
        <w:pStyle w:val="Textoindependiente"/>
      </w:pPr>
    </w:p>
    <w:bookmarkEnd w:id="57"/>
    <w:bookmarkStart w:id="73" w:name="funciones-del-gobierno-soa-del-fna"/>
    <w:p>
      <w:pPr>
        <w:pStyle w:val="Ttulo2"/>
      </w:pPr>
      <w:r>
        <w:t xml:space="preserve">Funciones del Gobierno SOA del FNA</w:t>
      </w:r>
    </w:p>
    <w:p>
      <w:pPr>
        <w:numPr>
          <w:ilvl w:val="0"/>
          <w:numId w:val="1004"/>
        </w:numPr>
        <w:pStyle w:val="Compact"/>
      </w:pPr>
      <w:r>
        <w:t xml:space="preserve">Equilibrio arquitectura y procesos SOA</w:t>
      </w:r>
    </w:p>
    <w:p>
      <w:pPr>
        <w:numPr>
          <w:ilvl w:val="0"/>
          <w:numId w:val="1004"/>
        </w:numPr>
        <w:pStyle w:val="Compact"/>
      </w:pPr>
      <w:r>
        <w:t xml:space="preserve">Supervisión de efectividad y factibilidad SOA</w:t>
      </w:r>
    </w:p>
    <w:p>
      <w:pPr>
        <w:numPr>
          <w:ilvl w:val="0"/>
          <w:numId w:val="1004"/>
        </w:numPr>
        <w:pStyle w:val="Compact"/>
      </w:pPr>
      <w:r>
        <w:t xml:space="preserve">Mejora de los índices de efectividad (madurez) SOA</w:t>
      </w:r>
    </w:p>
    <w:p>
      <w:pPr>
        <w:numPr>
          <w:ilvl w:val="0"/>
          <w:numId w:val="1004"/>
        </w:numPr>
        <w:pStyle w:val="Compact"/>
      </w:pPr>
      <w:r>
        <w:t xml:space="preserve">Consideraciones para la puesta en marcha del gobierno SOA en el FNA</w:t>
      </w:r>
    </w:p>
    <w:bookmarkStart w:id="62"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p>
      <w:pPr>
        <w:pStyle w:val="FirstParagraph"/>
      </w:pPr>
    </w:p>
    <w:p>
      <w:pPr>
        <w:pStyle w:val="Textoindependiente"/>
      </w:pPr>
      <w:r>
        <w:t xml:space="preserve">Como objetivos específicos principales debe incluir, como mínimo, los siguientes:</w:t>
      </w:r>
    </w:p>
    <w:p>
      <w:pPr>
        <w:pStyle w:val="Textoindependiente"/>
      </w:pPr>
      <w:r>
        <w:drawing>
          <wp:inline>
            <wp:extent cx="5600700" cy="3267074"/>
            <wp:effectExtent b="0" l="0" r="0" t="0"/>
            <wp:docPr descr="" title="" id="59" name="Picture"/>
            <a:graphic>
              <a:graphicData uri="http://schemas.openxmlformats.org/drawingml/2006/picture">
                <pic:pic>
                  <pic:nvPicPr>
                    <pic:cNvPr descr="images/GobiernoSOA.3n.png" id="60" name="Picture"/>
                    <pic:cNvPicPr>
                      <a:picLocks noChangeArrowheads="1" noChangeAspect="1"/>
                    </pic:cNvPicPr>
                  </pic:nvPicPr>
                  <pic:blipFill>
                    <a:blip r:embed="rId58"/>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61">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5"/>
        </w:numPr>
      </w:pPr>
      <w:r>
        <w:t xml:space="preserve">G-OBJ1. 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0"/>
        </w:numPr>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9">
        <w:r>
          <w:rPr>
            <w:rStyle w:val="Hipervnculo"/>
          </w:rPr>
          <w:t xml:space="preserve">Supervisión de efectividad y factibilidad SOA</w:t>
        </w:r>
      </w:hyperlink>
      <w:r>
        <w:t xml:space="preserve">.</w:t>
      </w:r>
    </w:p>
    <w:p>
      <w:pPr>
        <w:numPr>
          <w:ilvl w:val="0"/>
          <w:numId w:val="1005"/>
        </w:numPr>
      </w:pPr>
      <w:r>
        <w:t xml:space="preserve">G-OBJ2. 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5"/>
        </w:numPr>
      </w:pPr>
      <w:r>
        <w:t xml:space="preserve">G-OBJ3. Vigilar y perseguir el aumento de los índices de adopción, adaptación y efectividad SOA presentes en los análisis de madurez como el realizado en la Fase 1 del diagnóstico presente (ver</w:t>
      </w:r>
      <w:r>
        <w:t xml:space="preserve"> </w:t>
      </w:r>
      <w:hyperlink r:id="rId29">
        <w:r>
          <w:rPr>
            <w:rStyle w:val="Hipervnculo"/>
          </w:rPr>
          <w:t xml:space="preserve">02.Fase 2 PR2 Estudio Madurez SOA FNA</w:t>
        </w:r>
      </w:hyperlink>
      <w:r>
        <w:t xml:space="preserve">). Poner el marcha el proceso de gobierno SOA del FNA descrito más adelante en este ejercicio (181-2020). Adaptar y monitorear los índices de rendimiento (KPI) del proceso.</w:t>
      </w:r>
    </w:p>
    <w:p>
      <w:pPr>
        <w:pStyle w:val="FirstParagraph"/>
      </w:pPr>
    </w:p>
    <w:bookmarkEnd w:id="62"/>
    <w:bookmarkStart w:id="72"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6"/>
        </w:numPr>
        <w:pStyle w:val="Compact"/>
      </w:pPr>
      <w:r>
        <w:t xml:space="preserve">Desde el área, o rol, de gobierno SOA del FNA, servir de guía en la entrega de soluciones de software conforme a la arquitectura de referencia estregada por esta consultoría.</w:t>
      </w:r>
    </w:p>
    <w:p>
      <w:pPr>
        <w:numPr>
          <w:ilvl w:val="0"/>
          <w:numId w:val="1006"/>
        </w:numPr>
        <w:pStyle w:val="Compact"/>
      </w:pPr>
      <w:r>
        <w:t xml:space="preserve">Informar de desviaciones en la relación de efectividad de costos de los proyectos SOA del FNA (en términos del área de inefectividad de costo e infactibilidad SOA.</w:t>
      </w:r>
    </w:p>
    <w:p>
      <w:pPr>
        <w:numPr>
          <w:ilvl w:val="0"/>
          <w:numId w:val="1006"/>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t xml:space="preserve">La imagen siguiente preesenta el conjunto de objetivos principales y secundarios que el Gobierno SOA del FNA, versión 0.5, debe perseguir y cumplir.</w:t>
      </w:r>
    </w:p>
    <w:bookmarkStart w:id="0" w:name="fig:a8d9b98b-be0b-408f-9b0c-c0fe749c3841"/>
    <w:p>
      <w:pPr>
        <w:pStyle w:val="CaptionedFigure"/>
      </w:pPr>
      <w:bookmarkStart w:id="66" w:name="fig:"/>
      <w:r>
        <w:drawing>
          <wp:inline>
            <wp:extent cx="5600700" cy="4177941"/>
            <wp:effectExtent b="0" l="0" r="0" t="0"/>
            <wp:docPr descr="Imagen 4: Objetivos secundarios del gobierno SOA del FNA" title="" id="64" name="Picture"/>
            <a:graphic>
              <a:graphicData uri="http://schemas.openxmlformats.org/drawingml/2006/picture">
                <pic:pic>
                  <pic:nvPicPr>
                    <pic:cNvPr descr="images/gobiernobjetivos.png" id="65" name="Picture"/>
                    <pic:cNvPicPr>
                      <a:picLocks noChangeArrowheads="1" noChangeAspect="1"/>
                    </pic:cNvPicPr>
                  </pic:nvPicPr>
                  <pic:blipFill>
                    <a:blip r:embed="rId63"/>
                    <a:stretch>
                      <a:fillRect/>
                    </a:stretch>
                  </pic:blipFill>
                  <pic:spPr bwMode="auto">
                    <a:xfrm>
                      <a:off x="0" y="0"/>
                      <a:ext cx="5600700" cy="4177941"/>
                    </a:xfrm>
                    <a:prstGeom prst="rect">
                      <a:avLst/>
                    </a:prstGeom>
                    <a:noFill/>
                    <a:ln w="9525">
                      <a:noFill/>
                      <a:headEnd/>
                      <a:tailEnd/>
                    </a:ln>
                  </pic:spPr>
                </pic:pic>
              </a:graphicData>
            </a:graphic>
          </wp:inline>
        </w:drawing>
      </w:r>
      <w:bookmarkEnd w:id="66"/>
    </w:p>
    <w:p>
      <w:pPr>
        <w:pStyle w:val="ImageCaption"/>
      </w:pPr>
      <w:r>
        <w:t xml:space="preserve">Imagen 4: Objetivos secundarios del gobierno SOA del FNA</w:t>
      </w:r>
    </w:p>
    <w:bookmarkEnd w:id="0"/>
    <w:p>
      <w:pPr>
        <w:pStyle w:val="Textoindependiente"/>
      </w:pPr>
      <w:r>
        <w:rPr>
          <w:iCs/>
          <w:i/>
        </w:rPr>
        <w:t xml:space="preserve">Fuente: Diagnóstico SOA. E-Service (2022)</w:t>
      </w:r>
    </w:p>
    <w:p>
      <w:pPr>
        <w:pStyle w:val="Textoindependiente"/>
      </w:pPr>
    </w:p>
    <w:bookmarkStart w:id="69" w:name="Xa26f50d9d2dc49753c1803d09efa61b9a7ca4e1"/>
    <w:p>
      <w:pPr>
        <w:pStyle w:val="Ttulo4"/>
      </w:pPr>
      <w:r>
        <w:t xml:space="preserve">G-OBJ1. Vigilancia del Riesgo Tecnológico</w:t>
      </w:r>
    </w:p>
    <w:p>
      <w:pPr>
        <w:pStyle w:val="FirstParagraph"/>
      </w:pPr>
      <w:r>
        <w:t xml:space="preserve">La definición de riesgos tecnológico que perseguimos en este ejercicio de diseño de gobierno SOA tiene que ver únicamente con los dominios de arquitectura</w:t>
      </w:r>
      <w:r>
        <w:rPr>
          <w:rStyle w:val="Refdenotaalpie"/>
        </w:rPr>
        <w:footnoteReference w:id="67"/>
      </w:r>
      <w:r>
        <w:t xml:space="preserve">, a los que estos impacten. Esta clasificación de los riesgos técnicos, y para efectos del ejercicio de gobierno objeto de este proyecto, es eficaz porque le facilita a cada arquitecto focalizar y mitigar aquellos riesgos relacionados con su dominio particular, que en este contexto consideramos como dominios de arquitectura a: servicios, aplicaciones, datos e infraestructura. Los riesgos transversales, como los causados por la deuda técnica, los clasificaremos en el dominio de servicios.</w:t>
      </w:r>
    </w:p>
    <w:bookmarkStart w:id="68" w:name="niveles-de-riesgo-técnico-para-del-fna"/>
    <w:p>
      <w:pPr>
        <w:pStyle w:val="Ttulo5"/>
      </w:pPr>
      <w:r>
        <w:t xml:space="preserve">Niveles de Riesgo Técnico para del FNA</w:t>
      </w:r>
    </w:p>
    <w:p>
      <w:pPr>
        <w:pStyle w:val="FirstParagraph"/>
      </w:pPr>
      <w:r>
        <w:t xml:space="preserve">Aún cuando tengamos la clasificación de riesgos técnicos, requerimos contar con niveles de criticidad a los riesgos técnicos (organizados por dominio de arquiteura). Los niveles que consideramos pertinentes para este trabajo de gobierno SOA del FNA son riesgo de nivel inicial y nivel residual.</w:t>
      </w:r>
    </w:p>
    <w:p>
      <w:pPr>
        <w:pStyle w:val="Textoindependiente"/>
      </w:pPr>
      <w:r>
        <w:t xml:space="preserve">La definición de cada nivel de riesgo es como sigue.</w:t>
      </w:r>
      <w:r>
        <w:t xml:space="preserve"> </w:t>
      </w:r>
      <w:r>
        <w:t xml:space="preserve">* Riesgo Técnico Inicial: nivel de riesgo al momento de su identificación en las arquitecturas del FNA. El riesgo permanece en este nivel antes y durante la implementación de las acciones de mitigación.</w:t>
      </w:r>
      <w:r>
        <w:t xml:space="preserve"> </w:t>
      </w:r>
      <w:r>
        <w:t xml:space="preserve">* Riesgo Técnico Reisudal: este nivel que toma el riesgo técnico luego de la implementación de las acciones de mitigación.</w:t>
      </w:r>
    </w:p>
    <w:p>
      <w:pPr>
        <w:pStyle w:val="Textoindependiente"/>
      </w:pPr>
      <w:r>
        <w:t xml:space="preserve">Hacer seguimiento a inversión tecnológica, provedores y colaboración con externos; evaluar y constatar la implementación de soluciones FNA, la cual podría limitarse a servicios SOA; controlar la adopción de nuevos diseños, nuevos marcos de trabajo, librerías o componentes de terceros.</w:t>
      </w:r>
    </w:p>
    <w:bookmarkEnd w:id="68"/>
    <w:bookmarkEnd w:id="69"/>
    <w:bookmarkStart w:id="70" w:name="X02aa4bbda48fdd5ed710b91b8bfc8b6cb34e0c9"/>
    <w:p>
      <w:pPr>
        <w:pStyle w:val="Ttulo4"/>
      </w:pPr>
      <w:r>
        <w:t xml:space="preserve">G-OBJS2. Vigilar la Complejidad e Impacto en la Arquitectura SOA del Fondo</w:t>
      </w:r>
    </w:p>
    <w:p>
      <w:pPr>
        <w:pStyle w:val="FirstParagraph"/>
      </w:pPr>
      <w:r>
        <w:t xml:space="preserve">Bien sea por medio de las revisiones de diseño, el comité de arquitectura, o por el desarrollo y distribución de un catálogo de soluciones preconstruídas que alivie y guíe a las fábricas y desarrolladores que trabajan para la empresa.</w:t>
      </w:r>
    </w:p>
    <w:bookmarkEnd w:id="70"/>
    <w:bookmarkStart w:id="71" w:name="X85a3aa6e5079aa748cd286fc188147c88a6c079"/>
    <w:p>
      <w:pPr>
        <w:pStyle w:val="Ttulo4"/>
      </w:pPr>
      <w:r>
        <w:t xml:space="preserve">G-OBJ3. Vigilar y Alcanzar los Índices de Efectividad SOA</w:t>
      </w:r>
    </w:p>
    <w:p>
      <w:pPr>
        <w:pStyle w:val="FirstParagraph"/>
      </w:pPr>
      <w:r>
        <w:t xml:space="preserve">Los índices de efectividad SOA presentes en los análisis de madurez como el realizado en la Fase 1 del diagnóstico presente.</w:t>
      </w:r>
    </w:p>
    <w:p>
      <w:pPr>
        <w:pStyle w:val="Textoindependiente"/>
      </w:pPr>
    </w:p>
    <w:bookmarkEnd w:id="71"/>
    <w:bookmarkEnd w:id="72"/>
    <w:bookmarkEnd w:id="73"/>
    <w:bookmarkStart w:id="74" w:name="X1dff0e18553c7791a6591965f046615447427d7"/>
    <w:p>
      <w:pPr>
        <w:pStyle w:val="Ttulo2"/>
      </w:pPr>
      <w:r>
        <w:t xml:space="preserve">Anexo 1. Susceptibilidades de Gobierno (PR01)</w:t>
      </w:r>
    </w:p>
    <w:p>
      <w:pPr>
        <w:numPr>
          <w:ilvl w:val="0"/>
          <w:numId w:val="1007"/>
        </w:numPr>
        <w:pStyle w:val="Compact"/>
      </w:pPr>
      <w:r>
        <w:t xml:space="preserve">Debilidad en la Completitud de los CU</w:t>
      </w:r>
    </w:p>
    <w:p>
      <w:pPr>
        <w:numPr>
          <w:ilvl w:val="0"/>
          <w:numId w:val="1007"/>
        </w:numPr>
        <w:pStyle w:val="Compact"/>
      </w:pPr>
      <w:r>
        <w:t xml:space="preserve">Herramientas y Métodos de QA relacionados con sistemas distribuidos y QA​</w:t>
      </w:r>
    </w:p>
    <w:p>
      <w:pPr>
        <w:numPr>
          <w:ilvl w:val="0"/>
          <w:numId w:val="1007"/>
        </w:numPr>
        <w:pStyle w:val="Compact"/>
      </w:pPr>
      <w:r>
        <w:t xml:space="preserve">Normalización y fortalecimiento de los ambientes QA ​</w:t>
      </w:r>
    </w:p>
    <w:p>
      <w:pPr>
        <w:numPr>
          <w:ilvl w:val="0"/>
          <w:numId w:val="1007"/>
        </w:numPr>
        <w:pStyle w:val="Compact"/>
      </w:pPr>
      <w:r>
        <w:t xml:space="preserve">Gestión del diseño y arquitecturas: categorización de complejidad​</w:t>
      </w:r>
    </w:p>
    <w:p>
      <w:pPr>
        <w:numPr>
          <w:ilvl w:val="0"/>
          <w:numId w:val="1007"/>
        </w:numPr>
        <w:pStyle w:val="Compact"/>
      </w:pPr>
      <w:r>
        <w:t xml:space="preserve">Correspondencia complejidad - diseño</w:t>
      </w:r>
    </w:p>
    <w:p>
      <w:pPr>
        <w:numPr>
          <w:ilvl w:val="0"/>
          <w:numId w:val="1007"/>
        </w:numPr>
        <w:pStyle w:val="Compact"/>
      </w:pPr>
      <w:r>
        <w:t xml:space="preserve">Débil (o inexistente) procedimiento de evaluación de inversión​</w:t>
      </w:r>
    </w:p>
    <w:p>
      <w:pPr>
        <w:numPr>
          <w:ilvl w:val="0"/>
          <w:numId w:val="1007"/>
        </w:numPr>
        <w:pStyle w:val="Compact"/>
      </w:pPr>
      <w:r>
        <w:t xml:space="preserve">Débil (o inexistente) formalidad para el cálculo de eficacia un inversión​ TI, proveedores</w:t>
      </w:r>
    </w:p>
    <w:p>
      <w:pPr>
        <w:numPr>
          <w:ilvl w:val="0"/>
          <w:numId w:val="1007"/>
        </w:numPr>
        <w:pStyle w:val="Compact"/>
      </w:pPr>
      <w:r>
        <w:t xml:space="preserve">Normnalizar registro de resultados de las entregas de proveedores​ (confiabilidad)</w:t>
      </w:r>
    </w:p>
    <w:p>
      <w:pPr>
        <w:numPr>
          <w:ilvl w:val="0"/>
          <w:numId w:val="1007"/>
        </w:numPr>
        <w:pStyle w:val="Compact"/>
      </w:pPr>
      <w:r>
        <w:t xml:space="preserve">Asignación de responsables de gestión de las inversiones de TI</w:t>
      </w:r>
    </w:p>
    <w:p>
      <w:pPr>
        <w:pStyle w:val="FirstParagraph"/>
      </w:pPr>
    </w:p>
    <w:bookmarkEnd w:id="74"/>
    <w:bookmarkStart w:id="75" w:name="Xd820393e281519037d62de8a6e14b7ac62e8045"/>
    <w:p>
      <w:pPr>
        <w:pStyle w:val="Ttulo2"/>
      </w:pPr>
      <w:r>
        <w:t xml:space="preserve">Anexo 2. Riesgos Técnicos FNA (E-Service, 2022)</w:t>
      </w:r>
    </w:p>
    <w:p>
      <w:pPr>
        <w:numPr>
          <w:ilvl w:val="0"/>
          <w:numId w:val="1008"/>
        </w:numPr>
        <w:pStyle w:val="Compact"/>
      </w:pPr>
      <w:r>
        <w:t xml:space="preserve">*1. Riesgo de agilidad limitada (ver imagen 1)</w:t>
      </w:r>
    </w:p>
    <w:p>
      <w:pPr>
        <w:numPr>
          <w:ilvl w:val="0"/>
          <w:numId w:val="1008"/>
        </w:numPr>
        <w:pStyle w:val="Compact"/>
      </w:pPr>
      <w:r>
        <w:t xml:space="preserve">*2. Riesgo de baja orquestación SOA (ver imagen 2a y 2b)</w:t>
      </w:r>
    </w:p>
    <w:p>
      <w:pPr>
        <w:numPr>
          <w:ilvl w:val="0"/>
          <w:numId w:val="1008"/>
        </w:numPr>
        <w:pStyle w:val="Compact"/>
      </w:pPr>
      <w:r>
        <w:t xml:space="preserve">*3. Riesgo de crecimiento de dependencias entre servicios SOA</w:t>
      </w:r>
    </w:p>
    <w:p>
      <w:pPr>
        <w:numPr>
          <w:ilvl w:val="0"/>
          <w:numId w:val="1008"/>
        </w:numPr>
        <w:pStyle w:val="Compact"/>
      </w:pPr>
      <w:r>
        <w:t xml:space="preserve">*4. Riesgo de crecimiento de adaptadores particulares –opuesto al estándar– (ver imagen 3)</w:t>
      </w:r>
    </w:p>
    <w:p>
      <w:pPr>
        <w:numPr>
          <w:ilvl w:val="0"/>
          <w:numId w:val="1008"/>
        </w:numPr>
        <w:pStyle w:val="Compact"/>
      </w:pPr>
      <w:r>
        <w:t xml:space="preserve">*5. Riesgo de baja reutilización de servicios SOA</w:t>
      </w:r>
    </w:p>
    <w:p>
      <w:pPr>
        <w:numPr>
          <w:ilvl w:val="0"/>
          <w:numId w:val="1008"/>
        </w:numPr>
        <w:pStyle w:val="Compact"/>
      </w:pPr>
      <w:r>
        <w:t xml:space="preserve">*6. Riesgo de permanencia de aplicaciones silos</w:t>
      </w:r>
    </w:p>
    <w:p>
      <w:pPr>
        <w:numPr>
          <w:ilvl w:val="0"/>
          <w:numId w:val="1008"/>
        </w:numPr>
        <w:pStyle w:val="Compact"/>
      </w:pPr>
      <w:r>
        <w:t xml:space="preserve">*7. Riesgo de falta de trazabilidad para la evolución e implementación de los servicios SOA</w:t>
      </w:r>
    </w:p>
    <w:p>
      <w:r>
        <w:pict>
          <v:rect style="width:0;height:1.5pt" o:hralign="center" o:hrstd="t" o:hr="t"/>
        </w:pict>
      </w:r>
    </w:p>
    <w:bookmarkEnd w:id="75"/>
    <w:bookmarkStart w:id="80" w:name="referencias"/>
    <w:p>
      <w:pPr>
        <w:pStyle w:val="Ttulo2"/>
      </w:pPr>
      <w:r>
        <w:t xml:space="preserve">Referencias</w:t>
      </w:r>
    </w:p>
    <w:bookmarkStart w:id="76" w:name="refs"/>
    <w:p>
      <w:pPr>
        <w:pStyle w:val="Bibliography"/>
      </w:pPr>
      <w:r>
        <w:t xml:space="preserve">E-Service. Situación SOA Actual del FNA. Etapa I. (2022).</w:t>
      </w:r>
    </w:p>
    <w:bookmarkEnd w:id="76"/>
    <w:bookmarkStart w:id="77" w:name="refs"/>
    <w:p>
      <w:pPr>
        <w:pStyle w:val="Bibliography"/>
      </w:pPr>
      <w:r>
        <w:t xml:space="preserve">E-Service. Arquitectura de Referencia del FNA. Etapa II. (2023).</w:t>
      </w:r>
    </w:p>
    <w:bookmarkEnd w:id="77"/>
    <w:bookmarkStart w:id="78" w:name="refs"/>
    <w:p>
      <w:pPr>
        <w:pStyle w:val="Bibliography"/>
      </w:pPr>
      <w:r>
        <w:t xml:space="preserve">E-Service. Hoja de Ruta e Iniciativas. Etapa III. (2023).</w:t>
      </w:r>
    </w:p>
    <w:bookmarkEnd w:id="78"/>
    <w:bookmarkStart w:id="79" w:name="refs"/>
    <w:p>
      <w:pPr>
        <w:pStyle w:val="Bibliography"/>
      </w:pPr>
      <w:r>
        <w:t xml:space="preserve">TOGAF 9.1. Risk Management (2023). En https://pubs.opengroup.org/architecture/togaf9-doc/arch/chap27.html</w:t>
      </w:r>
    </w:p>
    <w:bookmarkEnd w:id="79"/>
    <w:bookmarkEnd w:id="80"/>
    <w:bookmarkEnd w:id="8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7">
    <w:p>
      <w:pPr>
        <w:pStyle w:val="Textonotapie"/>
      </w:pPr>
      <w:r>
        <w:rPr>
          <w:rStyle w:val="Refdenotaalpie"/>
        </w:rPr>
        <w:footnoteRef/>
      </w:r>
      <w:r>
        <w:t xml:space="preserve"> </w:t>
      </w:r>
      <w:r>
        <w:t xml:space="preserve">TOGAF 9.1. Risk Management (2023): En https://pubs.opengroup.org/architecture/togaf9-doc/arch/chap27.html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58" Target="media/rId58.png" /><Relationship Type="http://schemas.openxmlformats.org/officeDocument/2006/relationships/image" Id="rId63" Target="media/rId6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34" Target="media/rId34.jpg" /><Relationship Type="http://schemas.openxmlformats.org/officeDocument/2006/relationships/hyperlink" Id="rId61" Target="" TargetMode="External" /><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66ac3d32e6221286b5b831fc82e942070d663c1f/"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61" Target="" TargetMode="External" /><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66ac3d32e6221286b5b831fc82e942070d663c1f/"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dc:language>en-US</dc:language>
  <cp:keywords>SOA, madurez, gobierno, FNA</cp:keywords>
  <dcterms:created xsi:type="dcterms:W3CDTF">2023-06-14T18:44:46Z</dcterms:created>
  <dcterms:modified xsi:type="dcterms:W3CDTF">2023-06-14T18:44:46Z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2023-06-14</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