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9.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STEF@7c64b32</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1.7c64b32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1.7c64b32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1.7c64b32</w:t>
      </w:r>
    </w:p>
    <w:p>
      <w:pPr>
        <w:pStyle w:val="FirstParagraph"/>
      </w:pPr>
    </w:p>
    <w:bookmarkEnd w:id="30"/>
    <w:bookmarkStart w:id="87"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9c49f179-feba-404f-8b8c-4ed9cb3e530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1.7c64b32</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a495cf1-02a4-48f1-a8f8-88bd12241da9"/>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6cda59c3-e3c7-4c38-ad9a-4a9109419f82"/>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1.7c64b32</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ae4a3c5f-9c9b-4992-9584-a03c60bee193"/>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79"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bookmarkEnd w:id="65"/>
    <w:bookmarkStart w:id="67"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6" w:name="fig:example-id"/>
      <w:r>
        <w:t xml:space="preserve">Imagen 5: Objetivos principal y específicos del Gobierno SOA del FNA, versión 0.5.</w:t>
      </w:r>
      <w:bookmarkEnd w:id="66"/>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7"/>
    <w:bookmarkStart w:id="68"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68"/>
    <w:bookmarkStart w:id="78"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03025e7b-9a61-4c1a-b66c-141949486654"/>
    <w:p>
      <w:pPr>
        <w:pStyle w:val="CaptionedFigure"/>
      </w:pPr>
      <w:bookmarkStart w:id="72" w:name="fig:"/>
      <w:r>
        <w:drawing>
          <wp:inline>
            <wp:extent cx="5600700" cy="4177941"/>
            <wp:effectExtent b="0" l="0" r="0" t="0"/>
            <wp:docPr descr="Imagen 6: Objetivos secundarios del gobierno SOA del FNA" title="" id="70" name="Picture"/>
            <a:graphic>
              <a:graphicData uri="http://schemas.openxmlformats.org/drawingml/2006/picture">
                <pic:pic>
                  <pic:nvPicPr>
                    <pic:cNvPr descr="images/gobiernobjetivos.png" id="71" name="Picture"/>
                    <pic:cNvPicPr>
                      <a:picLocks noChangeArrowheads="1" noChangeAspect="1"/>
                    </pic:cNvPicPr>
                  </pic:nvPicPr>
                  <pic:blipFill>
                    <a:blip r:embed="rId69"/>
                    <a:stretch>
                      <a:fillRect/>
                    </a:stretch>
                  </pic:blipFill>
                  <pic:spPr bwMode="auto">
                    <a:xfrm>
                      <a:off x="0" y="0"/>
                      <a:ext cx="5600700" cy="4177941"/>
                    </a:xfrm>
                    <a:prstGeom prst="rect">
                      <a:avLst/>
                    </a:prstGeom>
                    <a:noFill/>
                    <a:ln w="9525">
                      <a:noFill/>
                      <a:headEnd/>
                      <a:tailEnd/>
                    </a:ln>
                  </pic:spPr>
                </pic:pic>
              </a:graphicData>
            </a:graphic>
          </wp:inline>
        </w:drawing>
      </w:r>
      <w:bookmarkEnd w:id="72"/>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5"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3"/>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4"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4"/>
    <w:bookmarkEnd w:id="75"/>
    <w:bookmarkStart w:id="76"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6"/>
    <w:bookmarkStart w:id="77"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7"/>
    <w:bookmarkEnd w:id="78"/>
    <w:bookmarkEnd w:id="79"/>
    <w:bookmarkStart w:id="80"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80"/>
    <w:bookmarkStart w:id="81"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81"/>
    <w:bookmarkStart w:id="86" w:name="referencias"/>
    <w:p>
      <w:pPr>
        <w:pStyle w:val="Ttulo2"/>
      </w:pPr>
      <w:r>
        <w:t xml:space="preserve">Referencias</w:t>
      </w:r>
    </w:p>
    <w:bookmarkStart w:id="82" w:name="refs"/>
    <w:p>
      <w:pPr>
        <w:pStyle w:val="Bibliography"/>
      </w:pPr>
      <w:r>
        <w:t xml:space="preserve">E-Service. Situación SOA Actual del FNA. Etapa I. (2022).</w:t>
      </w:r>
    </w:p>
    <w:bookmarkEnd w:id="82"/>
    <w:bookmarkStart w:id="83" w:name="refs"/>
    <w:p>
      <w:pPr>
        <w:pStyle w:val="Bibliography"/>
      </w:pPr>
      <w:r>
        <w:t xml:space="preserve">E-Service. Arquitectura de Referencia del FNA. Etapa II. (2023).</w:t>
      </w:r>
    </w:p>
    <w:bookmarkEnd w:id="83"/>
    <w:bookmarkStart w:id="84" w:name="refs"/>
    <w:p>
      <w:pPr>
        <w:pStyle w:val="Bibliography"/>
      </w:pPr>
      <w:r>
        <w:t xml:space="preserve">E-Service. Hoja de Ruta e Iniciativas. Etapa III. (2023).</w:t>
      </w:r>
    </w:p>
    <w:bookmarkEnd w:id="84"/>
    <w:bookmarkStart w:id="85" w:name="refs"/>
    <w:p>
      <w:pPr>
        <w:pStyle w:val="Bibliography"/>
      </w:pPr>
      <w:r>
        <w:t xml:space="preserve">TOGAF 9.1. Risk Management (2023). En https://pubs.opengroup.org/architecture/togaf9-doc/arch/chap27.html</w:t>
      </w:r>
    </w:p>
    <w:bookmarkEnd w:id="85"/>
    <w:bookmarkEnd w:id="86"/>
    <w:bookmarkEnd w:id="8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7c64b3222946320d48c9757838675b8a29cd485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7c64b3222946320d48c9757838675b8a29cd485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2023-06-15T19:52:26Z</dcterms:created>
  <dcterms:modified xsi:type="dcterms:W3CDTF">2023-06-15T19:52:26Z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