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STEF@85aad1a</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1.85aad1a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1.85aad1a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1.85aad1a</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b362906-f369-486b-a650-8fec280bce43"/>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097dbab-f0a2-4835-ad22-2158aa60ae66"/>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a01466c5-99c1-47ae-9a66-c8037b78e647"/>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5761d06b-ed06-4992-8fdf-e73661c01de4"/>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c422561f-f082-4628-9264-e9e0c25405e8"/>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859775e4-59ad-4c56-9d48-e2e4a6877725"/>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2352231d-38a8-48d4-94a9-8f7c873c6368"/>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31993c9-165e-4989-a193-6ccf5580c063"/>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6a886782-a783-4659-ac89-8578cf14f1ba"/>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1.85aad1a 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1.85aad1a</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38412da0-3aac-4fba-880a-d908ffc32ed0"/>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de las arquitecturas más relevantes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comiteModelo.png"/>
    <w:p>
      <w:pPr>
        <w:pStyle w:val="CaptionedFigure"/>
      </w:pPr>
      <w:bookmarkStart w:id="174" w:name="fig:comiteModelo.pn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de la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tres funciones básicas. Es decir, el comité debe responder a:</w:t>
      </w:r>
    </w:p>
    <w:p>
      <w:pPr>
        <w:numPr>
          <w:ilvl w:val="0"/>
          <w:numId w:val="1028"/>
        </w:numPr>
        <w:pStyle w:val="Compact"/>
      </w:pPr>
      <w:r>
        <w:t xml:space="preserve">FUNC10. Dirimir (decisiones)</w:t>
      </w:r>
    </w:p>
    <w:p>
      <w:pPr>
        <w:numPr>
          <w:ilvl w:val="0"/>
          <w:numId w:val="1028"/>
        </w:numPr>
        <w:pStyle w:val="Compact"/>
      </w:pPr>
      <w:r>
        <w:t xml:space="preserve">FUNC11. Divulgar (resoluciones)</w:t>
      </w:r>
    </w:p>
    <w:p>
      <w:pPr>
        <w:numPr>
          <w:ilvl w:val="0"/>
          <w:numId w:val="1028"/>
        </w:numPr>
        <w:pStyle w:val="Compact"/>
      </w:pPr>
      <w:r>
        <w:t xml:space="preserve">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1.85aad1a</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4"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Start w:id="203" w:name="X121cd8d6b39024496750284cc4c9ea34322c9d5"/>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202" w:name="fig:flujoADM-2.png"/>
      <w:r>
        <w:drawing>
          <wp:inline>
            <wp:extent cx="5600700" cy="3125701"/>
            <wp:effectExtent b="0" l="0" r="0" t="0"/>
            <wp:docPr descr="Imagen 18: alt 2. Actividades y relaciones de los estados de un flujo de trabajo de la oficina de arquitectura con arreglo al proceso ADM de TOGAF. Flujo para la oficina de arquitectura en conjunto con proveedores del FNA." title="" id="200" name="Picture"/>
            <a:graphic>
              <a:graphicData uri="http://schemas.openxmlformats.org/drawingml/2006/picture">
                <pic:pic>
                  <pic:nvPicPr>
                    <pic:cNvPr descr="images/flujoADM-2.png" id="201"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202"/>
    </w:p>
    <w:p>
      <w:pPr>
        <w:pStyle w:val="ImageCaption"/>
      </w:pPr>
      <w:r>
        <w:t xml:space="preserve">Imagen 18: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203"/>
    <w:bookmarkEnd w:id="20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5aad1a5697e5e2dab7452c79f5def709ea37674/"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5aad1a5697e5e2dab7452c79f5def709ea37674/"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2023-08-10T21:25:55Z</dcterms:created>
  <dcterms:modified xsi:type="dcterms:W3CDTF">2023-08-10T21:25:55Z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