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7.jpg" ContentType="image/jpeg"/>
  <Override PartName="/word/media/rId128.gif" ContentType="image/gif"/>
  <Override PartName="/word/media/rId81.png" ContentType="image/png"/>
  <Override PartName="/word/media/rId88.png" ContentType="image/png"/>
  <Override PartName="/word/media/rId94.png" ContentType="image/png"/>
  <Override PartName="/word/media/rId100.png" ContentType="image/png"/>
  <Override PartName="/word/media/rId76.png" ContentType="image/png"/>
  <Override PartName="/word/media/rId70.png" ContentType="image/png"/>
  <Override PartName="/word/media/rId66.png" ContentType="image/png"/>
  <Override PartName="/word/media/rId46.png" ContentType="image/png"/>
  <Override PartName="/word/media/rId52.png" ContentType="image/png"/>
  <Override PartName="/word/media/rId116.png" ContentType="image/png"/>
  <Override PartName="/word/media/rId120.png" ContentType="image/png"/>
  <Override PartName="/word/media/rId34.jpg" ContentType="image/jpeg"/>
  <Override PartName="/word/media/rId10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STEF@85b01e6</w:t>
        </w:r>
      </w:hyperlink>
      <w:r>
        <w:t xml:space="preserve"> </w:t>
      </w:r>
      <w:r>
        <w:t xml:space="preserve">del June 20, 2023.</w:t>
      </w:r>
      <w:r>
        <w:t xml:space="preserve"> </w:t>
      </w:r>
    </w:p>
    <w:p>
      <w:pPr>
        <w:pStyle w:val="Textoindependiente"/>
      </w:pPr>
      <w:r>
        <w:t xml:space="preserve">   </w:t>
      </w:r>
      <w:r>
        <w:rPr>
          <w:bCs/>
          <w:b/>
        </w:rPr>
        <w:t xml:space="preserve">Versión</w:t>
      </w:r>
      <w:r>
        <w:t xml:space="preserve"> </w:t>
      </w:r>
      <w:r>
        <w:t xml:space="preserve">del producto 1.85b01e6 de 20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1.85b01e6 del 20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Jun 2023</w:t>
      </w:r>
    </w:p>
    <w:p>
      <w:pPr>
        <w:pStyle w:val="Textodebloque"/>
      </w:pPr>
      <w:r>
        <w:rPr>
          <w:bCs/>
          <w:b/>
        </w:rPr>
        <w:t xml:space="preserve">Versión</w:t>
      </w:r>
      <w:r>
        <w:t xml:space="preserve"> </w:t>
      </w:r>
      <w:r>
        <w:t xml:space="preserve">1.85b01e6</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f820cd7c-920d-4dd4-a172-055ad5001cf8"/>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1.85b01e6</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para el FNA, primera edición, versión 0.1.</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e19f82fc-f243-4f7f-acdb-9084d60d9d91"/>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86"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51">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e6d6f86b-25eb-4083-838e-bcab1c0ad270"/>
    <w:p>
      <w:pPr>
        <w:pStyle w:val="CaptionedFigure"/>
      </w:pPr>
      <w:bookmarkStart w:id="55" w:name="fig:"/>
      <w:r>
        <w:drawing>
          <wp:inline>
            <wp:extent cx="5600700" cy="3879326"/>
            <wp:effectExtent b="0" l="0" r="0" t="0"/>
            <wp:docPr descr="Imagen 3: Versión 0.5 del Modelo de Gobierno del FNA." title="" id="53" name="Picture"/>
            <a:graphic>
              <a:graphicData uri="http://schemas.openxmlformats.org/drawingml/2006/picture">
                <pic:pic>
                  <pic:nvPicPr>
                    <pic:cNvPr descr="images/modelogob05.png" id="54" name="Picture"/>
                    <pic:cNvPicPr>
                      <a:picLocks noChangeArrowheads="1" noChangeAspect="1"/>
                    </pic:cNvPicPr>
                  </pic:nvPicPr>
                  <pic:blipFill>
                    <a:blip r:embed="rId52"/>
                    <a:stretch>
                      <a:fillRect/>
                    </a:stretch>
                  </pic:blipFill>
                  <pic:spPr bwMode="auto">
                    <a:xfrm>
                      <a:off x="0" y="0"/>
                      <a:ext cx="5600700" cy="3879326"/>
                    </a:xfrm>
                    <a:prstGeom prst="rect">
                      <a:avLst/>
                    </a:prstGeom>
                    <a:noFill/>
                    <a:ln w="9525">
                      <a:noFill/>
                      <a:headEnd/>
                      <a:tailEnd/>
                    </a:ln>
                  </pic:spPr>
                </pic:pic>
              </a:graphicData>
            </a:graphic>
          </wp:inline>
        </w:drawing>
      </w:r>
      <w:bookmarkEnd w:id="55"/>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56" w:name="Xa414ec3b4e2b3c7ebfcbcbc67ca5647409b6ff0"/>
    <w:p>
      <w:pPr>
        <w:pStyle w:val="Ttulo2"/>
      </w:pPr>
      <w:r>
        <w:t xml:space="preserve">Elementos del Modelo de Gobierno, versión 0.5</w:t>
      </w:r>
    </w:p>
    <w:tbl>
      <w:tblPr>
        <w:tblStyle w:val="Table"/>
        <w:tblW w:type="pct" w:w="5000"/>
        <w:tblLook w:firstRow="1" w:lastRow="0" w:firstColumn="0" w:lastColumn="0" w:noHBand="0" w:noVBand="0" w:val="0020"/>
      </w:tblPr>
      <w:tblGrid>
        <w:gridCol w:w="808"/>
        <w:gridCol w:w="518"/>
        <w:gridCol w:w="6344"/>
        <w:gridCol w:w="248"/>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t xml:space="preserve">**Arquitectura FNA</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c>
          <w:tcPr/>
          <w:p>
            <w:pPr>
              <w:pStyle w:val="Compact"/>
            </w:pP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c>
          <w:tcPr/>
          <w:p>
            <w:pPr>
              <w:pStyle w:val="Compact"/>
            </w:pP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1.85b01e6</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56"/>
    <w:bookmarkStart w:id="61"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60" w:name="fig:objetivos-id"/>
      <w:r>
        <w:drawing>
          <wp:inline>
            <wp:extent cx="5600700" cy="3426588"/>
            <wp:effectExtent b="0" l="0" r="0" t="0"/>
            <wp:docPr descr="Imagen 4: Objetivos principal y específicos del Gobierno SOA del FNA, versión 0.5." title="" id="58" name="Picture"/>
            <a:graphic>
              <a:graphicData uri="http://schemas.openxmlformats.org/drawingml/2006/picture">
                <pic:pic>
                  <pic:nvPicPr>
                    <pic:cNvPr descr="images/GobiernoSOA.3n1.jpg" id="59" name="Picture"/>
                    <pic:cNvPicPr>
                      <a:picLocks noChangeArrowheads="1" noChangeAspect="1"/>
                    </pic:cNvPicPr>
                  </pic:nvPicPr>
                  <pic:blipFill>
                    <a:blip r:embed="rId57"/>
                    <a:stretch>
                      <a:fillRect/>
                    </a:stretch>
                  </pic:blipFill>
                  <pic:spPr bwMode="auto">
                    <a:xfrm>
                      <a:off x="0" y="0"/>
                      <a:ext cx="5600700" cy="3426588"/>
                    </a:xfrm>
                    <a:prstGeom prst="rect">
                      <a:avLst/>
                    </a:prstGeom>
                    <a:noFill/>
                    <a:ln w="9525">
                      <a:noFill/>
                      <a:headEnd/>
                      <a:tailEnd/>
                    </a:ln>
                  </pic:spPr>
                </pic:pic>
              </a:graphicData>
            </a:graphic>
          </wp:inline>
        </w:drawing>
      </w:r>
      <w:bookmarkEnd w:id="60"/>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61"/>
    <w:bookmarkStart w:id="75"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64"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62"/>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63"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63"/>
    <w:bookmarkEnd w:id="64"/>
    <w:bookmarkStart w:id="65"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65"/>
    <w:bookmarkStart w:id="74"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803fd7fd-94f3-4024-9411-b45cd41fdd2a"/>
    <w:p>
      <w:pPr>
        <w:pStyle w:val="CaptionedFigure"/>
      </w:pPr>
      <w:bookmarkStart w:id="69" w:name="fig:"/>
      <w:r>
        <w:drawing>
          <wp:inline>
            <wp:extent cx="5600700" cy="4232267"/>
            <wp:effectExtent b="0" l="0" r="0" t="0"/>
            <wp:docPr descr="Imagen 5: índices de efectividad de las arquitecturas del FNA." title="" id="67" name="Picture"/>
            <a:graphic>
              <a:graphicData uri="http://schemas.openxmlformats.org/drawingml/2006/picture">
                <pic:pic>
                  <pic:nvPicPr>
                    <pic:cNvPr descr="images/madurezInfo_graf.png" id="68" name="Picture"/>
                    <pic:cNvPicPr>
                      <a:picLocks noChangeArrowheads="1" noChangeAspect="1"/>
                    </pic:cNvPicPr>
                  </pic:nvPicPr>
                  <pic:blipFill>
                    <a:blip r:embed="rId66"/>
                    <a:stretch>
                      <a:fillRect/>
                    </a:stretch>
                  </pic:blipFill>
                  <pic:spPr bwMode="auto">
                    <a:xfrm>
                      <a:off x="0" y="0"/>
                      <a:ext cx="5600700" cy="4232267"/>
                    </a:xfrm>
                    <a:prstGeom prst="rect">
                      <a:avLst/>
                    </a:prstGeom>
                    <a:noFill/>
                    <a:ln w="9525">
                      <a:noFill/>
                      <a:headEnd/>
                      <a:tailEnd/>
                    </a:ln>
                  </pic:spPr>
                </pic:pic>
              </a:graphicData>
            </a:graphic>
          </wp:inline>
        </w:drawing>
      </w:r>
      <w:bookmarkEnd w:id="69"/>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d0709132-5191-4793-b91a-9dccbd0a7017"/>
    <w:p>
      <w:pPr>
        <w:pStyle w:val="CaptionedFigure"/>
      </w:pPr>
      <w:bookmarkStart w:id="73" w:name="fig:"/>
      <w:r>
        <w:drawing>
          <wp:inline>
            <wp:extent cx="5600700" cy="3248963"/>
            <wp:effectExtent b="0" l="0" r="0" t="0"/>
            <wp:docPr descr="Imagen 6: Indicador principal del gobierno SOA: KPI de Vínculo Contexto Negocio-SOA. Identifica y justifica los cambios SOA en relación al Valor de negocio." title="" id="71" name="Picture"/>
            <a:graphic>
              <a:graphicData uri="http://schemas.openxmlformats.org/drawingml/2006/picture">
                <pic:pic>
                  <pic:nvPicPr>
                    <pic:cNvPr descr="images/indicadoresgob.png" id="72" name="Picture"/>
                    <pic:cNvPicPr>
                      <a:picLocks noChangeArrowheads="1" noChangeAspect="1"/>
                    </pic:cNvPicPr>
                  </pic:nvPicPr>
                  <pic:blipFill>
                    <a:blip r:embed="rId70"/>
                    <a:stretch>
                      <a:fillRect/>
                    </a:stretch>
                  </pic:blipFill>
                  <pic:spPr bwMode="auto">
                    <a:xfrm>
                      <a:off x="0" y="0"/>
                      <a:ext cx="5600700" cy="3248963"/>
                    </a:xfrm>
                    <a:prstGeom prst="rect">
                      <a:avLst/>
                    </a:prstGeom>
                    <a:noFill/>
                    <a:ln w="9525">
                      <a:noFill/>
                      <a:headEnd/>
                      <a:tailEnd/>
                    </a:ln>
                  </pic:spPr>
                </pic:pic>
              </a:graphicData>
            </a:graphic>
          </wp:inline>
        </w:drawing>
      </w:r>
      <w:bookmarkEnd w:id="73"/>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74"/>
    <w:bookmarkEnd w:id="75"/>
    <w:bookmarkStart w:id="80"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8cac1247-1298-4a44-8211-569de10b74f4"/>
    <w:p>
      <w:pPr>
        <w:pStyle w:val="CaptionedFigure"/>
      </w:pPr>
      <w:bookmarkStart w:id="79" w:name="fig:"/>
      <w:r>
        <w:drawing>
          <wp:inline>
            <wp:extent cx="5600700" cy="4177941"/>
            <wp:effectExtent b="0" l="0" r="0" t="0"/>
            <wp:docPr descr="Imagen 7: Objetivos secundarios del gobierno SOA del FNA" title="" id="77" name="Picture"/>
            <a:graphic>
              <a:graphicData uri="http://schemas.openxmlformats.org/drawingml/2006/picture">
                <pic:pic>
                  <pic:nvPicPr>
                    <pic:cNvPr descr="images/gobiernobjetivos.png" id="78" name="Picture"/>
                    <pic:cNvPicPr>
                      <a:picLocks noChangeArrowheads="1" noChangeAspect="1"/>
                    </pic:cNvPicPr>
                  </pic:nvPicPr>
                  <pic:blipFill>
                    <a:blip r:embed="rId76"/>
                    <a:stretch>
                      <a:fillRect/>
                    </a:stretch>
                  </pic:blipFill>
                  <pic:spPr bwMode="auto">
                    <a:xfrm>
                      <a:off x="0" y="0"/>
                      <a:ext cx="5600700" cy="4177941"/>
                    </a:xfrm>
                    <a:prstGeom prst="rect">
                      <a:avLst/>
                    </a:prstGeom>
                    <a:noFill/>
                    <a:ln w="9525">
                      <a:noFill/>
                      <a:headEnd/>
                      <a:tailEnd/>
                    </a:ln>
                  </pic:spPr>
                </pic:pic>
              </a:graphicData>
            </a:graphic>
          </wp:inline>
        </w:drawing>
      </w:r>
      <w:bookmarkEnd w:id="79"/>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1.85b01e6</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0"/>
    <w:bookmarkStart w:id="8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550c2b33-831a-41e0-9db2-478da6067975"/>
    <w:p>
      <w:pPr>
        <w:pStyle w:val="CaptionedFigure"/>
      </w:pPr>
      <w:bookmarkStart w:id="84" w:name="fig:"/>
      <w:r>
        <w:drawing>
          <wp:inline>
            <wp:extent cx="5600700" cy="4853940"/>
            <wp:effectExtent b="0" l="0" r="0" t="0"/>
            <wp:docPr descr="Imagen 8: TOGAF 9, Fase G, Implementation governance para la implementación de las capacidades de ejecución de hojas de ruta del FNA." title="" id="82" name="Picture"/>
            <a:graphic>
              <a:graphicData uri="http://schemas.openxmlformats.org/drawingml/2006/picture">
                <pic:pic>
                  <pic:nvPicPr>
                    <pic:cNvPr descr="images/capacidades.png" id="83" name="Picture"/>
                    <pic:cNvPicPr>
                      <a:picLocks noChangeArrowheads="1" noChangeAspect="1"/>
                    </pic:cNvPicPr>
                  </pic:nvPicPr>
                  <pic:blipFill>
                    <a:blip r:embed="rId81"/>
                    <a:stretch>
                      <a:fillRect/>
                    </a:stretch>
                  </pic:blipFill>
                  <pic:spPr bwMode="auto">
                    <a:xfrm>
                      <a:off x="0" y="0"/>
                      <a:ext cx="5600700" cy="4853940"/>
                    </a:xfrm>
                    <a:prstGeom prst="rect">
                      <a:avLst/>
                    </a:prstGeom>
                    <a:noFill/>
                    <a:ln w="9525">
                      <a:noFill/>
                      <a:headEnd/>
                      <a:tailEnd/>
                    </a:ln>
                  </pic:spPr>
                </pic:pic>
              </a:graphicData>
            </a:graphic>
          </wp:inline>
        </w:drawing>
      </w:r>
      <w:bookmarkEnd w:id="8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6"/>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6"/>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6"/>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6"/>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6"/>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6"/>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6"/>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1.85b01e6</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5"/>
    <w:bookmarkEnd w:id="86"/>
    <w:bookmarkStart w:id="99" w:name="Xfee84a66729f93b4560c6bc2103cda987103caf"/>
    <w:p>
      <w:pPr>
        <w:pStyle w:val="Ttulo1"/>
      </w:pPr>
      <w:r>
        <w:t xml:space="preserve">Flujos de Trabajo Oficina de Arquitectura</w:t>
      </w:r>
    </w:p>
    <w:p>
      <w:pPr>
        <w:pStyle w:val="FirstParagraph"/>
      </w:pPr>
      <w:r>
        <w:t xml:space="preserve">Los flujos siguientes han sido definidos para priorizar la atención a los problemas encontrados en el análisis de susceptibilidad de gobierno, PR01.</w:t>
      </w:r>
    </w:p>
    <w:bookmarkStart w:id="92" w:name="Xf812f315a73bafe088111c71a2a8af4a19ed907"/>
    <w:p>
      <w:pPr>
        <w:pStyle w:val="Ttulo2"/>
      </w:pPr>
      <w:r>
        <w:t xml:space="preserve">Flujo de Trabajo Oficina de Arquitectura Interno</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07"/>
        </w:numPr>
        <w:pStyle w:val="Compact"/>
      </w:pPr>
      <w:r>
        <w:t xml:space="preserve">Recibe el requerimiento de arquitectura</w:t>
      </w:r>
    </w:p>
    <w:p>
      <w:pPr>
        <w:numPr>
          <w:ilvl w:val="1"/>
          <w:numId w:val="1008"/>
        </w:numPr>
        <w:pStyle w:val="Compact"/>
      </w:pPr>
      <w:r>
        <w:t xml:space="preserve">Inicia el proceso ADM - Fase de preliminar: alistamiento y aprobación​</w:t>
      </w:r>
    </w:p>
    <w:p>
      <w:pPr>
        <w:numPr>
          <w:ilvl w:val="1"/>
          <w:numId w:val="1008"/>
        </w:numPr>
        <w:pStyle w:val="Compact"/>
      </w:pPr>
      <w:r>
        <w:t xml:space="preserve">Arranca el modelado​ inicial o incremental, nivel 100</w:t>
      </w:r>
      <w:r>
        <w:t xml:space="preserve"> </w:t>
      </w:r>
      <w:r>
        <w:rPr>
          <w:rStyle w:val="Refdenotaalpie"/>
        </w:rPr>
        <w:footnoteReference w:id="87"/>
      </w:r>
    </w:p>
    <w:p>
      <w:pPr>
        <w:numPr>
          <w:ilvl w:val="0"/>
          <w:numId w:val="1007"/>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ba40e09b-d85f-4434-8f46-cf9cc35b6896"/>
    <w:p>
      <w:pPr>
        <w:pStyle w:val="CaptionedFigure"/>
      </w:pPr>
      <w:bookmarkStart w:id="91" w:name="fig:"/>
      <w:r>
        <w:drawing>
          <wp:inline>
            <wp:extent cx="5600700" cy="4502286"/>
            <wp:effectExtent b="0" l="0" r="0" t="0"/>
            <wp:docPr descr="Imagen 9: alt 1. Actividades y relaciones de los estados de un flujo de trabajo de la oficina de arquitectura con arreglo al proceso ADM de TOGAF. Flujo para los requerimientos internos de la oficina de arquitectura del FNA." title="" id="89" name="Picture"/>
            <a:graphic>
              <a:graphicData uri="http://schemas.openxmlformats.org/drawingml/2006/picture">
                <pic:pic>
                  <pic:nvPicPr>
                    <pic:cNvPr descr="images/flujoADM-1.png" id="90" name="Picture"/>
                    <pic:cNvPicPr>
                      <a:picLocks noChangeArrowheads="1" noChangeAspect="1"/>
                    </pic:cNvPicPr>
                  </pic:nvPicPr>
                  <pic:blipFill>
                    <a:blip r:embed="rId88"/>
                    <a:stretch>
                      <a:fillRect/>
                    </a:stretch>
                  </pic:blipFill>
                  <pic:spPr bwMode="auto">
                    <a:xfrm>
                      <a:off x="0" y="0"/>
                      <a:ext cx="5600700" cy="4502286"/>
                    </a:xfrm>
                    <a:prstGeom prst="rect">
                      <a:avLst/>
                    </a:prstGeom>
                    <a:noFill/>
                    <a:ln w="9525">
                      <a:noFill/>
                      <a:headEnd/>
                      <a:tailEnd/>
                    </a:ln>
                  </pic:spPr>
                </pic:pic>
              </a:graphicData>
            </a:graphic>
          </wp:inline>
        </w:drawing>
      </w:r>
      <w:bookmarkEnd w:id="91"/>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92"/>
    <w:bookmarkStart w:id="98" w:name="X92d03f3adb5d47af85cad9582ea8b53c71dbd40"/>
    <w:p>
      <w:pPr>
        <w:pStyle w:val="Ttulo2"/>
      </w:pPr>
      <w:r>
        <w:t xml:space="preserve">Flujo de Trabajo Oficina de Arquitectura Colaborativo (Proveedores)</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09"/>
        </w:numPr>
      </w:pPr>
      <w:r>
        <w:t xml:space="preserve">El Arq. FNA recibe el requerimientos de cambio</w:t>
      </w:r>
    </w:p>
    <w:p>
      <w:pPr>
        <w:numPr>
          <w:ilvl w:val="0"/>
          <w:numId w:val="1009"/>
        </w:numPr>
      </w:pPr>
      <w:r>
        <w:t xml:space="preserve">Inicia el proceso ADM - fase de preliminar: alistamiento y probación</w:t>
      </w:r>
    </w:p>
    <w:p>
      <w:pPr>
        <w:numPr>
          <w:ilvl w:val="0"/>
          <w:numId w:val="1009"/>
        </w:numPr>
      </w:pPr>
      <w:r>
        <w:t xml:space="preserve">Inicia el modelado</w:t>
      </w:r>
    </w:p>
    <w:p>
      <w:pPr>
        <w:numPr>
          <w:ilvl w:val="1"/>
          <w:numId w:val="1010"/>
        </w:numPr>
        <w:pStyle w:val="Compact"/>
      </w:pPr>
      <w:r>
        <w:t xml:space="preserve">Diseño</w:t>
      </w:r>
    </w:p>
    <w:p>
      <w:pPr>
        <w:numPr>
          <w:ilvl w:val="2"/>
          <w:numId w:val="1011"/>
        </w:numPr>
        <w:pStyle w:val="Compact"/>
      </w:pPr>
      <w:r>
        <w:t xml:space="preserve">Inicia diseño conceptual (nivel 100): appl, datos, TI, servicios, inversión</w:t>
      </w:r>
    </w:p>
    <w:p>
      <w:pPr>
        <w:numPr>
          <w:ilvl w:val="2"/>
          <w:numId w:val="1011"/>
        </w:numPr>
        <w:pStyle w:val="Compact"/>
      </w:pPr>
      <w:r>
        <w:t xml:space="preserve">Bloques de construcción abstractos</w:t>
      </w:r>
    </w:p>
    <w:p>
      <w:pPr>
        <w:numPr>
          <w:ilvl w:val="1"/>
          <w:numId w:val="1010"/>
        </w:numPr>
        <w:pStyle w:val="Compact"/>
      </w:pPr>
      <w:r>
        <w:t xml:space="preserve">Solución</w:t>
      </w:r>
    </w:p>
    <w:p>
      <w:pPr>
        <w:numPr>
          <w:ilvl w:val="2"/>
          <w:numId w:val="1012"/>
        </w:numPr>
        <w:pStyle w:val="Compact"/>
      </w:pPr>
      <w:r>
        <w:t xml:space="preserve">Bloques de construcción de solución</w:t>
      </w:r>
    </w:p>
    <w:p>
      <w:pPr>
        <w:numPr>
          <w:ilvl w:val="2"/>
          <w:numId w:val="1012"/>
        </w:numPr>
        <w:pStyle w:val="Compact"/>
      </w:pPr>
      <w:r>
        <w:t xml:space="preserve">Solicita diseño detallado (nivel 200, 300, 400 o 500) de los dominios de arquitectura: aplicaciones, datos, infraestructura y servicios</w:t>
      </w:r>
    </w:p>
    <w:p>
      <w:pPr>
        <w:numPr>
          <w:ilvl w:val="0"/>
          <w:numId w:val="1009"/>
        </w:numPr>
      </w:pPr>
      <w:r>
        <w:t xml:space="preserve">El Arquitecto FNA inicia los análisis mínimos</w:t>
      </w:r>
    </w:p>
    <w:p>
      <w:pPr>
        <w:numPr>
          <w:ilvl w:val="1"/>
          <w:numId w:val="1013"/>
        </w:numPr>
        <w:pStyle w:val="Compact"/>
      </w:pPr>
      <w:r>
        <w:t xml:space="preserve">Análisis de impacto</w:t>
      </w:r>
    </w:p>
    <w:p>
      <w:pPr>
        <w:numPr>
          <w:ilvl w:val="1"/>
          <w:numId w:val="1013"/>
        </w:numPr>
        <w:pStyle w:val="Compact"/>
      </w:pPr>
      <w:r>
        <w:t xml:space="preserve">de Complejidad</w:t>
      </w:r>
    </w:p>
    <w:p>
      <w:pPr>
        <w:numPr>
          <w:ilvl w:val="1"/>
          <w:numId w:val="1013"/>
        </w:numPr>
        <w:pStyle w:val="Compact"/>
      </w:pPr>
      <w:r>
        <w:t xml:space="preserve">y Costo / beneficio</w:t>
      </w:r>
    </w:p>
    <w:p>
      <w:pPr>
        <w:numPr>
          <w:ilvl w:val="0"/>
          <w:numId w:val="1009"/>
        </w:numPr>
      </w:pPr>
      <w:r>
        <w:t xml:space="preserve">El Arquitecto FNA (de la oficina de arquitectura) solicita al arquitecto de solución, sea de proveedor interno o externo, el inicio del Proceso ADM - fase de implementación y fase de gobierno</w:t>
      </w:r>
    </w:p>
    <w:p>
      <w:pPr>
        <w:numPr>
          <w:ilvl w:val="1"/>
          <w:numId w:val="1014"/>
        </w:numPr>
        <w:pStyle w:val="Compact"/>
      </w:pPr>
      <w:r>
        <w:t xml:space="preserve">El arquitecto de solución modela los bloques de solución</w:t>
      </w:r>
      <w:r>
        <w:t xml:space="preserve"> </w:t>
      </w:r>
      <w:r>
        <w:rPr>
          <w:rStyle w:val="Refdenotaalpie"/>
        </w:rPr>
        <w:footnoteReference w:id="93"/>
      </w:r>
    </w:p>
    <w:p>
      <w:pPr>
        <w:numPr>
          <w:ilvl w:val="0"/>
          <w:numId w:val="1009"/>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2f3f4bc3-f6b7-4f57-80cd-0f339fbcb40f"/>
    <w:p>
      <w:pPr>
        <w:pStyle w:val="CaptionedFigure"/>
      </w:pPr>
      <w:bookmarkStart w:id="97" w:name="fig:"/>
      <w:r>
        <w:drawing>
          <wp:inline>
            <wp:extent cx="5600700" cy="4460578"/>
            <wp:effectExtent b="0" l="0" r="0" t="0"/>
            <wp:docPr descr="Imagen 10: alt 2. Actividades y relaciones de los estados de un flujo de trabajo de la oficina de arquitectura con arreglo al proceso ADM de TOGAF. Flujo para la oficina de arquitectura en conjunto con proveedores del FNA." title="" id="95" name="Picture"/>
            <a:graphic>
              <a:graphicData uri="http://schemas.openxmlformats.org/drawingml/2006/picture">
                <pic:pic>
                  <pic:nvPicPr>
                    <pic:cNvPr descr="images/flujoADM-2.png" id="96" name="Picture"/>
                    <pic:cNvPicPr>
                      <a:picLocks noChangeArrowheads="1" noChangeAspect="1"/>
                    </pic:cNvPicPr>
                  </pic:nvPicPr>
                  <pic:blipFill>
                    <a:blip r:embed="rId94"/>
                    <a:stretch>
                      <a:fillRect/>
                    </a:stretch>
                  </pic:blipFill>
                  <pic:spPr bwMode="auto">
                    <a:xfrm>
                      <a:off x="0" y="0"/>
                      <a:ext cx="5600700" cy="4460578"/>
                    </a:xfrm>
                    <a:prstGeom prst="rect">
                      <a:avLst/>
                    </a:prstGeom>
                    <a:noFill/>
                    <a:ln w="9525">
                      <a:noFill/>
                      <a:headEnd/>
                      <a:tailEnd/>
                    </a:ln>
                  </pic:spPr>
                </pic:pic>
              </a:graphicData>
            </a:graphic>
          </wp:inline>
        </w:drawing>
      </w:r>
      <w:bookmarkEnd w:id="97"/>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1.85b01e6</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05"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15"/>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15"/>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15"/>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04"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5eb37b00-2764-4d14-81f3-7fc12e07479b"/>
    <w:p>
      <w:pPr>
        <w:pStyle w:val="CaptionedFigure"/>
      </w:pPr>
      <w:bookmarkStart w:id="103" w:name="fig:"/>
      <w:r>
        <w:drawing>
          <wp:inline>
            <wp:extent cx="5600700" cy="4089497"/>
            <wp:effectExtent b="0" l="0" r="0" t="0"/>
            <wp:docPr descr="Imagen 11: Funciones operativas de la Oficina de Arquitectura del FNA. Operaciones solicitadas a la oficina." title="" id="101" name="Picture"/>
            <a:graphic>
              <a:graphicData uri="http://schemas.openxmlformats.org/drawingml/2006/picture">
                <pic:pic>
                  <pic:nvPicPr>
                    <pic:cNvPr descr="images/funcionesof.png" id="102" name="Picture"/>
                    <pic:cNvPicPr>
                      <a:picLocks noChangeArrowheads="1" noChangeAspect="1"/>
                    </pic:cNvPicPr>
                  </pic:nvPicPr>
                  <pic:blipFill>
                    <a:blip r:embed="rId100"/>
                    <a:stretch>
                      <a:fillRect/>
                    </a:stretch>
                  </pic:blipFill>
                  <pic:spPr bwMode="auto">
                    <a:xfrm>
                      <a:off x="0" y="0"/>
                      <a:ext cx="5600700" cy="4089497"/>
                    </a:xfrm>
                    <a:prstGeom prst="rect">
                      <a:avLst/>
                    </a:prstGeom>
                    <a:noFill/>
                    <a:ln w="9525">
                      <a:noFill/>
                      <a:headEnd/>
                      <a:tailEnd/>
                    </a:ln>
                  </pic:spPr>
                </pic:pic>
              </a:graphicData>
            </a:graphic>
          </wp:inline>
        </w:drawing>
      </w:r>
      <w:bookmarkEnd w:id="103"/>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16"/>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16"/>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16"/>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04"/>
    <w:bookmarkEnd w:id="105"/>
    <w:bookmarkStart w:id="115" w:name="X0518fec7b45c7879917cf27723e9702132f2754"/>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17"/>
        </w:numPr>
        <w:pStyle w:val="Compact"/>
      </w:pPr>
      <w:r>
        <w:t xml:space="preserve">RESPC01. Vigilancia de alineación negocio-arquitectura</w:t>
      </w:r>
    </w:p>
    <w:p>
      <w:pPr>
        <w:numPr>
          <w:ilvl w:val="0"/>
          <w:numId w:val="1017"/>
        </w:numPr>
        <w:pStyle w:val="Compact"/>
      </w:pPr>
      <w:r>
        <w:t xml:space="preserve">RESPC02. Equilibrio arquitectura y procesos SOA</w:t>
      </w:r>
    </w:p>
    <w:p>
      <w:pPr>
        <w:numPr>
          <w:ilvl w:val="0"/>
          <w:numId w:val="1017"/>
        </w:numPr>
        <w:pStyle w:val="Compact"/>
      </w:pPr>
      <w:r>
        <w:t xml:space="preserve">RESPC03. Supervisión de efectividad y factibilidad SOA</w:t>
      </w:r>
    </w:p>
    <w:p>
      <w:pPr>
        <w:numPr>
          <w:ilvl w:val="0"/>
          <w:numId w:val="1017"/>
        </w:numPr>
        <w:pStyle w:val="Compact"/>
      </w:pPr>
      <w:r>
        <w:t xml:space="preserve">RESPC04. Mejora de los índices de efectividad (madurez) SOA</w:t>
      </w:r>
    </w:p>
    <w:p>
      <w:pPr>
        <w:numPr>
          <w:ilvl w:val="0"/>
          <w:numId w:val="1017"/>
        </w:numPr>
        <w:pStyle w:val="Compact"/>
      </w:pPr>
      <w:r>
        <w:t xml:space="preserve">RESPC05. Consideraciones para la puesta en marcha del gobierno SOA en el FNA</w:t>
      </w:r>
    </w:p>
    <w:p>
      <w:pPr>
        <w:pStyle w:val="FirstParagraph"/>
      </w:pPr>
    </w:p>
    <w:p>
      <w:pPr>
        <w:pStyle w:val="Textoindependiente"/>
      </w:pPr>
      <w:r>
        <w:t xml:space="preserve">En una vista de conjunto, queremos presentar el hecho de que las funciones de gobierno, en tanto que acciones, cendrán a convertirse en las responsabilidades que los integrantes del área de arquitectura del FNA deben cumplir. En la imagen siguiente dejamos explícitos estas responsabilidades.</w:t>
      </w:r>
    </w:p>
    <w:bookmarkStart w:id="0" w:name="fig:7e4a941b-3072-44e2-84f7-dc9a35fb27f2"/>
    <w:p>
      <w:pPr>
        <w:pStyle w:val="CaptionedFigure"/>
      </w:pPr>
      <w:bookmarkStart w:id="109" w:name="fig:"/>
      <w:r>
        <w:drawing>
          <wp:inline>
            <wp:extent cx="5600700" cy="4402410"/>
            <wp:effectExtent b="0" l="0" r="0" t="0"/>
            <wp:docPr descr="Imagen 12: Funciones (responsabilidades) de la Oficina de Arquitectura del FNA. Gobierno SOA, v0.5." title="" id="107" name="Picture"/>
            <a:graphic>
              <a:graphicData uri="http://schemas.openxmlformats.org/drawingml/2006/picture">
                <pic:pic>
                  <pic:nvPicPr>
                    <pic:cNvPr descr="images/responsabilidadgob.png" id="108" name="Picture"/>
                    <pic:cNvPicPr>
                      <a:picLocks noChangeArrowheads="1" noChangeAspect="1"/>
                    </pic:cNvPicPr>
                  </pic:nvPicPr>
                  <pic:blipFill>
                    <a:blip r:embed="rId106"/>
                    <a:stretch>
                      <a:fillRect/>
                    </a:stretch>
                  </pic:blipFill>
                  <pic:spPr bwMode="auto">
                    <a:xfrm>
                      <a:off x="0" y="0"/>
                      <a:ext cx="5600700" cy="4402410"/>
                    </a:xfrm>
                    <a:prstGeom prst="rect">
                      <a:avLst/>
                    </a:prstGeom>
                    <a:noFill/>
                    <a:ln w="9525">
                      <a:noFill/>
                      <a:headEnd/>
                      <a:tailEnd/>
                    </a:ln>
                  </pic:spPr>
                </pic:pic>
              </a:graphicData>
            </a:graphic>
          </wp:inline>
        </w:drawing>
      </w:r>
      <w:bookmarkEnd w:id="109"/>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10" w:name="X9a4995a2dce7dd649f71e6943a0b2610c978b6f"/>
    <w:p>
      <w:pPr>
        <w:pStyle w:val="Ttulo2"/>
      </w:pPr>
      <w:r>
        <w:t xml:space="preserve">Vigilancia de alineación negocio-arquitectura</w:t>
      </w:r>
    </w:p>
    <w:bookmarkEnd w:id="110"/>
    <w:bookmarkStart w:id="111" w:name="equilibrio-arquitectura-y-procesos-soa"/>
    <w:p>
      <w:pPr>
        <w:pStyle w:val="Ttulo2"/>
      </w:pPr>
      <w:r>
        <w:t xml:space="preserve">Equilibrio arquitectura y procesos SOA</w:t>
      </w:r>
    </w:p>
    <w:bookmarkEnd w:id="111"/>
    <w:bookmarkStart w:id="112" w:name="X9e585d85ac198fb4fa428defd3c13593f667a0e"/>
    <w:p>
      <w:pPr>
        <w:pStyle w:val="Ttulo2"/>
      </w:pPr>
      <w:r>
        <w:t xml:space="preserve">Supervisión de efectividad y factibilidad SOA</w:t>
      </w:r>
    </w:p>
    <w:bookmarkEnd w:id="112"/>
    <w:bookmarkStart w:id="113" w:name="Xcf3fb5954575e9f517c883c7c5b2a445b0eccea"/>
    <w:p>
      <w:pPr>
        <w:pStyle w:val="Ttulo2"/>
      </w:pPr>
      <w:r>
        <w:t xml:space="preserve">Mejora de los índices de efectividad (madurez) SOA</w:t>
      </w:r>
    </w:p>
    <w:bookmarkEnd w:id="113"/>
    <w:bookmarkStart w:id="114" w:name="Xc1322487bb449403080f53ca37d5f186008267f"/>
    <w:p>
      <w:pPr>
        <w:pStyle w:val="Ttulo2"/>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1.85b01e6 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4"/>
    <w:bookmarkEnd w:id="115"/>
    <w:bookmarkStart w:id="133"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5a5ac590-e171-4f7a-992b-8393416f105b"/>
    <w:p>
      <w:pPr>
        <w:pStyle w:val="CaptionedFigure"/>
      </w:pPr>
      <w:bookmarkStart w:id="119" w:name="fig:"/>
      <w:r>
        <w:drawing>
          <wp:inline>
            <wp:extent cx="5600700" cy="3900354"/>
            <wp:effectExtent b="0" l="0" r="0" t="0"/>
            <wp:docPr descr="Imagen 13: Actividades y relaciones del proceso principal de gobierno SOA para el FNA. Relación con capacidades y objetivos SOA necesarios para el FNA." title="" id="117" name="Picture"/>
            <a:graphic>
              <a:graphicData uri="http://schemas.openxmlformats.org/drawingml/2006/picture">
                <pic:pic>
                  <pic:nvPicPr>
                    <pic:cNvPr descr="images/proceso-gob.png" id="118" name="Picture"/>
                    <pic:cNvPicPr>
                      <a:picLocks noChangeArrowheads="1" noChangeAspect="1"/>
                    </pic:cNvPicPr>
                  </pic:nvPicPr>
                  <pic:blipFill>
                    <a:blip r:embed="rId116"/>
                    <a:stretch>
                      <a:fillRect/>
                    </a:stretch>
                  </pic:blipFill>
                  <pic:spPr bwMode="auto">
                    <a:xfrm>
                      <a:off x="0" y="0"/>
                      <a:ext cx="5600700" cy="3900354"/>
                    </a:xfrm>
                    <a:prstGeom prst="rect">
                      <a:avLst/>
                    </a:prstGeom>
                    <a:noFill/>
                    <a:ln w="9525">
                      <a:noFill/>
                      <a:headEnd/>
                      <a:tailEnd/>
                    </a:ln>
                  </pic:spPr>
                </pic:pic>
              </a:graphicData>
            </a:graphic>
          </wp:inline>
        </w:drawing>
      </w:r>
      <w:bookmarkEnd w:id="119"/>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bookmarkStart w:id="0" w:name="fig:2794565d-bff5-4527-bde8-b604dfb78b2c"/>
    <w:p>
      <w:pPr>
        <w:pStyle w:val="CaptionedFigure"/>
      </w:pPr>
      <w:bookmarkStart w:id="123" w:name="fig:"/>
      <w:r>
        <w:drawing>
          <wp:inline>
            <wp:extent cx="5600700" cy="2344993"/>
            <wp:effectExtent b="0" l="0" r="0" t="0"/>
            <wp:docPr descr="Imagen 14: Procesos de Gobierno SOA y relaciones de los procesos con las capacidades y objetivos de la oficina de arquitectura del FNA." title="" id="121" name="Picture"/>
            <a:graphic>
              <a:graphicData uri="http://schemas.openxmlformats.org/drawingml/2006/picture">
                <pic:pic>
                  <pic:nvPicPr>
                    <pic:cNvPr descr="images/procesosgob.png" id="122" name="Picture"/>
                    <pic:cNvPicPr>
                      <a:picLocks noChangeArrowheads="1" noChangeAspect="1"/>
                    </pic:cNvPicPr>
                  </pic:nvPicPr>
                  <pic:blipFill>
                    <a:blip r:embed="rId120"/>
                    <a:stretch>
                      <a:fillRect/>
                    </a:stretch>
                  </pic:blipFill>
                  <pic:spPr bwMode="auto">
                    <a:xfrm>
                      <a:off x="0" y="0"/>
                      <a:ext cx="5600700" cy="2344993"/>
                    </a:xfrm>
                    <a:prstGeom prst="rect">
                      <a:avLst/>
                    </a:prstGeom>
                    <a:noFill/>
                    <a:ln w="9525">
                      <a:noFill/>
                      <a:headEnd/>
                      <a:tailEnd/>
                    </a:ln>
                  </pic:spPr>
                </pic:pic>
              </a:graphicData>
            </a:graphic>
          </wp:inline>
        </w:drawing>
      </w:r>
      <w:bookmarkEnd w:id="123"/>
    </w:p>
    <w:p>
      <w:pPr>
        <w:pStyle w:val="ImageCaption"/>
      </w:pPr>
      <w:r>
        <w:t xml:space="preserve">Imagen 14: Procesos de Gobierno SOA y relaciones de los procesos con las capacidades y objetivos de la oficina de arquitectura del FNA.</w:t>
      </w:r>
    </w:p>
    <w:bookmarkEnd w:id="0"/>
    <w:p>
      <w:pPr>
        <w:pStyle w:val="Textoindependiente"/>
      </w:pPr>
      <w:r>
        <w:rPr>
          <w:iCs/>
          <w:i/>
        </w:rPr>
        <w:t xml:space="preserve">Fuente: elaboración propia.</w:t>
      </w:r>
    </w:p>
    <w:p>
      <w:pPr>
        <w:pStyle w:val="Textoindependiente"/>
      </w:pPr>
    </w:p>
    <w:bookmarkStart w:id="12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24"/>
    <w:bookmarkStart w:id="12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25"/>
    <w:bookmarkStart w:id="126" w:name="X1dff0e18553c7791a6591965f046615447427d7"/>
    <w:p>
      <w:pPr>
        <w:pStyle w:val="Ttulo2"/>
      </w:pPr>
      <w:r>
        <w:t xml:space="preserve">Anexo 1. Susceptibilidades de Gobierno (PR01)</w:t>
      </w:r>
    </w:p>
    <w:p>
      <w:pPr>
        <w:numPr>
          <w:ilvl w:val="0"/>
          <w:numId w:val="1018"/>
        </w:numPr>
        <w:pStyle w:val="Compact"/>
      </w:pPr>
      <w:r>
        <w:t xml:space="preserve">Debilidad en la Completitud de los CU</w:t>
      </w:r>
    </w:p>
    <w:p>
      <w:pPr>
        <w:numPr>
          <w:ilvl w:val="0"/>
          <w:numId w:val="1018"/>
        </w:numPr>
        <w:pStyle w:val="Compact"/>
      </w:pPr>
      <w:r>
        <w:t xml:space="preserve">Herramientas y Métodos de QA relacionados con sistemas distribuidos y QA​</w:t>
      </w:r>
    </w:p>
    <w:p>
      <w:pPr>
        <w:numPr>
          <w:ilvl w:val="0"/>
          <w:numId w:val="1018"/>
        </w:numPr>
        <w:pStyle w:val="Compact"/>
      </w:pPr>
      <w:r>
        <w:t xml:space="preserve">Normalización y fortalecimiento de los ambientes QA ​</w:t>
      </w:r>
    </w:p>
    <w:p>
      <w:pPr>
        <w:numPr>
          <w:ilvl w:val="0"/>
          <w:numId w:val="1018"/>
        </w:numPr>
        <w:pStyle w:val="Compact"/>
      </w:pPr>
      <w:r>
        <w:t xml:space="preserve">Gestión del diseño y arquitecturas: categorización de complejidad​</w:t>
      </w:r>
    </w:p>
    <w:p>
      <w:pPr>
        <w:numPr>
          <w:ilvl w:val="0"/>
          <w:numId w:val="1018"/>
        </w:numPr>
        <w:pStyle w:val="Compact"/>
      </w:pPr>
      <w:r>
        <w:t xml:space="preserve">Correspondencia complejidad - diseño</w:t>
      </w:r>
    </w:p>
    <w:p>
      <w:pPr>
        <w:numPr>
          <w:ilvl w:val="0"/>
          <w:numId w:val="1018"/>
        </w:numPr>
        <w:pStyle w:val="Compact"/>
      </w:pPr>
      <w:r>
        <w:t xml:space="preserve">Débil (o inexistente) procedimiento de evaluación de inversión​</w:t>
      </w:r>
    </w:p>
    <w:p>
      <w:pPr>
        <w:numPr>
          <w:ilvl w:val="0"/>
          <w:numId w:val="1018"/>
        </w:numPr>
        <w:pStyle w:val="Compact"/>
      </w:pPr>
      <w:r>
        <w:t xml:space="preserve">Débil (o inexistente) formalidad para el cálculo de eficacia un inversión​ TI, proveedores</w:t>
      </w:r>
    </w:p>
    <w:p>
      <w:pPr>
        <w:numPr>
          <w:ilvl w:val="0"/>
          <w:numId w:val="1018"/>
        </w:numPr>
        <w:pStyle w:val="Compact"/>
      </w:pPr>
      <w:r>
        <w:t xml:space="preserve">Normnalizar registro de resultados de las entregas de proveedores​ (confiabilidad)</w:t>
      </w:r>
    </w:p>
    <w:p>
      <w:pPr>
        <w:numPr>
          <w:ilvl w:val="0"/>
          <w:numId w:val="1018"/>
        </w:numPr>
        <w:pStyle w:val="Compact"/>
      </w:pPr>
      <w:r>
        <w:t xml:space="preserve">Asignación de responsables de gestión de las inversiones de TI</w:t>
      </w:r>
    </w:p>
    <w:p>
      <w:pPr>
        <w:pStyle w:val="FirstParagraph"/>
      </w:pPr>
    </w:p>
    <w:bookmarkEnd w:id="126"/>
    <w:bookmarkStart w:id="127" w:name="Xd820393e281519037d62de8a6e14b7ac62e8045"/>
    <w:p>
      <w:pPr>
        <w:pStyle w:val="Ttulo2"/>
      </w:pPr>
      <w:r>
        <w:t xml:space="preserve">Anexo 2. Riesgos Técnicos FNA (E-Service, 2022)</w:t>
      </w:r>
    </w:p>
    <w:p>
      <w:pPr>
        <w:numPr>
          <w:ilvl w:val="0"/>
          <w:numId w:val="1019"/>
        </w:numPr>
        <w:pStyle w:val="Compact"/>
      </w:pPr>
      <w:r>
        <w:t xml:space="preserve">R01. Riesgo de agilidad limitada (ver imagen 1)</w:t>
      </w:r>
    </w:p>
    <w:p>
      <w:pPr>
        <w:numPr>
          <w:ilvl w:val="0"/>
          <w:numId w:val="1019"/>
        </w:numPr>
        <w:pStyle w:val="Compact"/>
      </w:pPr>
      <w:r>
        <w:t xml:space="preserve">R02. Riesgo de baja orquestación SOA (ver imagen 2a y 2b)</w:t>
      </w:r>
    </w:p>
    <w:p>
      <w:pPr>
        <w:numPr>
          <w:ilvl w:val="0"/>
          <w:numId w:val="1019"/>
        </w:numPr>
        <w:pStyle w:val="Compact"/>
      </w:pPr>
      <w:r>
        <w:t xml:space="preserve">R03. Riesgo de crecimiento de dependencias entre servicios SOA</w:t>
      </w:r>
    </w:p>
    <w:p>
      <w:pPr>
        <w:numPr>
          <w:ilvl w:val="0"/>
          <w:numId w:val="1019"/>
        </w:numPr>
        <w:pStyle w:val="Compact"/>
      </w:pPr>
      <w:r>
        <w:t xml:space="preserve">R04. Riesgo de crecimiento de adaptadores particulares –opuesto al estándar– (ver imagen 3)</w:t>
      </w:r>
    </w:p>
    <w:p>
      <w:pPr>
        <w:numPr>
          <w:ilvl w:val="0"/>
          <w:numId w:val="1019"/>
        </w:numPr>
        <w:pStyle w:val="Compact"/>
      </w:pPr>
      <w:r>
        <w:t xml:space="preserve">R05. Riesgo de baja reutilización de servicios SOA</w:t>
      </w:r>
    </w:p>
    <w:p>
      <w:pPr>
        <w:numPr>
          <w:ilvl w:val="0"/>
          <w:numId w:val="1019"/>
        </w:numPr>
        <w:pStyle w:val="Compact"/>
      </w:pPr>
      <w:r>
        <w:t xml:space="preserve">R06. Riesgo de permanencia de aplicaciones silos</w:t>
      </w:r>
    </w:p>
    <w:p>
      <w:pPr>
        <w:numPr>
          <w:ilvl w:val="0"/>
          <w:numId w:val="1019"/>
        </w:numPr>
        <w:pStyle w:val="Compact"/>
      </w:pPr>
      <w:r>
        <w:t xml:space="preserve">R07. Riesgo de falta de trazabilidad para la evolución e implementación de los servicios SOA</w:t>
      </w:r>
    </w:p>
    <w:bookmarkEnd w:id="127"/>
    <w:bookmarkStart w:id="13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f1aa50ff-e903-4f90-a3aa-0d7d0ce031c6"/>
    <w:p>
      <w:pPr>
        <w:pStyle w:val="CaptionedFigure"/>
      </w:pPr>
      <w:bookmarkStart w:id="131" w:name="fig:"/>
      <w:r>
        <w:drawing>
          <wp:inline>
            <wp:extent cx="4406900" cy="5791200"/>
            <wp:effectExtent b="0" l="0" r="0" t="0"/>
            <wp:docPr descr="Imagen 15: TOGAF 9, Fase G, Implementation governance para la implementación de las capacidades de ejecución de hojas de ruta del FNA." title="" id="129" name="Picture"/>
            <a:graphic>
              <a:graphicData uri="http://schemas.openxmlformats.org/drawingml/2006/picture">
                <pic:pic>
                  <pic:nvPicPr>
                    <pic:cNvPr descr="images/adm.gif" id="130" name="Picture"/>
                    <pic:cNvPicPr>
                      <a:picLocks noChangeArrowheads="1" noChangeAspect="1"/>
                    </pic:cNvPicPr>
                  </pic:nvPicPr>
                  <pic:blipFill>
                    <a:blip r:embed="rId128"/>
                    <a:stretch>
                      <a:fillRect/>
                    </a:stretch>
                  </pic:blipFill>
                  <pic:spPr bwMode="auto">
                    <a:xfrm>
                      <a:off x="0" y="0"/>
                      <a:ext cx="4406900" cy="5791200"/>
                    </a:xfrm>
                    <a:prstGeom prst="rect">
                      <a:avLst/>
                    </a:prstGeom>
                    <a:noFill/>
                    <a:ln w="9525">
                      <a:noFill/>
                      <a:headEnd/>
                      <a:tailEnd/>
                    </a:ln>
                  </pic:spPr>
                </pic:pic>
              </a:graphicData>
            </a:graphic>
          </wp:inline>
        </w:drawing>
      </w:r>
      <w:bookmarkEnd w:id="131"/>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Jun 2023</w:t>
      </w:r>
    </w:p>
    <w:p>
      <w:pPr>
        <w:pStyle w:val="Textodebloque"/>
      </w:pPr>
      <w:r>
        <w:rPr>
          <w:bCs/>
          <w:b/>
        </w:rPr>
        <w:t xml:space="preserve">Versión</w:t>
      </w:r>
      <w:r>
        <w:t xml:space="preserve"> </w:t>
      </w:r>
      <w:r>
        <w:t xml:space="preserve">1.85b01e6</w:t>
      </w:r>
    </w:p>
    <w:p>
      <w:pPr>
        <w:pStyle w:val="FirstParagraph"/>
      </w:pPr>
    </w:p>
    <w:bookmarkEnd w:id="132"/>
    <w:bookmarkEnd w:id="133"/>
    <w:bookmarkStart w:id="146"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34" w:name="justificación-1"/>
    <w:p>
      <w:pPr>
        <w:pStyle w:val="Ttulo2"/>
      </w:pPr>
      <w:r>
        <w:t xml:space="preserve">Justificación</w:t>
      </w:r>
    </w:p>
    <w:p>
      <w:pPr>
        <w:pStyle w:val="FirstParagraph"/>
      </w:pPr>
      <w:r>
        <w:t xml:space="preserve">El Comité de Gobierno de Arquitectura captura y gestiona mediante registro en la bitácora de decisiones de arquitectura del FNA las razones, cambios, reformas, transiciones detrás de los requerimientos de arquitectura del FNA (flexibilidad, confiabilidad, rendimiento, mantenibilidad). Comunicará y establecerá responsabilidades directas que de las adaptaciones se deriven a fin de proveer el rastro pertinente a los revisores de estos modificaciones determinadas por el Comité. El Comité de Gobierno de Arquitectura del FNA es, por tanto, la instancia donde se dirimen y dirigen los requerimientos de arquitectura (TOGAF, Architecture Requirement Specification), muchas veces del tipo adaptación o migración tecnológicas, de mayor profundidad y exclusivas de las arquiteturas del FNA.</w:t>
      </w:r>
    </w:p>
    <w:bookmarkEnd w:id="134"/>
    <w:bookmarkStart w:id="135" w:name="contenidos-1"/>
    <w:p>
      <w:pPr>
        <w:pStyle w:val="Ttulo2"/>
      </w:pPr>
      <w:r>
        <w:t xml:space="preserve">Contenidos</w:t>
      </w:r>
    </w:p>
    <w:p>
      <w:pPr>
        <w:numPr>
          <w:ilvl w:val="0"/>
          <w:numId w:val="1020"/>
        </w:numPr>
        <w:pStyle w:val="Compact"/>
      </w:pPr>
      <w:r>
        <w:t xml:space="preserve">Modelo operativo del Comité de Gobierno de Arquitecturas del FNA: ámbitos y alcances del comité</w:t>
      </w:r>
    </w:p>
    <w:p>
      <w:pPr>
        <w:numPr>
          <w:ilvl w:val="0"/>
          <w:numId w:val="1020"/>
        </w:numPr>
        <w:pStyle w:val="Compact"/>
      </w:pPr>
      <w:r>
        <w:t xml:space="preserve">Consideraciones para la puesta en marcha de la bitácora de decisiones de arquitectura</w:t>
      </w:r>
    </w:p>
    <w:p>
      <w:pPr>
        <w:numPr>
          <w:ilvl w:val="0"/>
          <w:numId w:val="1020"/>
        </w:numPr>
        <w:pStyle w:val="Compact"/>
      </w:pPr>
      <w:r>
        <w:t xml:space="preserve">Respositorio y gestión de los requerimientos de arquitectura del FNA (flexibilidad, confiabilidad, rendimiento, mantenibilidad)</w:t>
      </w:r>
    </w:p>
    <w:p>
      <w:pPr>
        <w:numPr>
          <w:ilvl w:val="0"/>
          <w:numId w:val="1020"/>
        </w:numPr>
        <w:pStyle w:val="Compact"/>
      </w:pPr>
      <w:r>
        <w:t xml:space="preserve">Métodos de evaluación de arquitecturas para el FNA</w:t>
      </w:r>
    </w:p>
    <w:p>
      <w:pPr>
        <w:pStyle w:val="FirstParagraph"/>
      </w:pPr>
    </w:p>
    <w:bookmarkEnd w:id="135"/>
    <w:bookmarkStart w:id="136" w:name="criterios-de-aceptación-1"/>
    <w:p>
      <w:pPr>
        <w:pStyle w:val="Ttulo2"/>
      </w:pPr>
      <w:r>
        <w:t xml:space="preserve">Criterios de Aceptación</w:t>
      </w:r>
    </w:p>
    <w:p>
      <w:pPr>
        <w:numPr>
          <w:ilvl w:val="0"/>
          <w:numId w:val="1021"/>
        </w:numPr>
        <w:pStyle w:val="Compact"/>
      </w:pPr>
      <w:r>
        <w:t xml:space="preserve">Especificaciones de la bitácora de decisiones de arquitectura</w:t>
      </w:r>
    </w:p>
    <w:p>
      <w:pPr>
        <w:numPr>
          <w:ilvl w:val="0"/>
          <w:numId w:val="1021"/>
        </w:numPr>
        <w:pStyle w:val="Compact"/>
      </w:pPr>
      <w:r>
        <w:t xml:space="preserve">Especificaciones de funcionamiento del Comité de Gobierno de Arquitecturas del FNA</w:t>
      </w:r>
    </w:p>
    <w:p>
      <w:pPr>
        <w:numPr>
          <w:ilvl w:val="0"/>
          <w:numId w:val="1021"/>
        </w:numPr>
        <w:pStyle w:val="Compact"/>
      </w:pPr>
      <w:r>
        <w:t xml:space="preserve">Esquema de comunicación y publicación de cambios a las arquitecturas del FNA</w:t>
      </w:r>
    </w:p>
    <w:p>
      <w:pPr>
        <w:pStyle w:val="FirstParagraph"/>
      </w:pPr>
    </w:p>
    <w:bookmarkEnd w:id="136"/>
    <w:bookmarkStart w:id="140" w:name="modelo-de-implementación-del-pry01-1"/>
    <w:p>
      <w:pPr>
        <w:pStyle w:val="Ttulo2"/>
      </w:pPr>
      <w:r>
        <w:t xml:space="preserve">Modelo de Implementación del PRY01</w:t>
      </w:r>
    </w:p>
    <w:bookmarkStart w:id="0" w:name="fig:b596ed3d-262e-420f-b320-23858c06b65e"/>
    <w:p>
      <w:pPr>
        <w:pStyle w:val="CaptionedFigure"/>
      </w:pPr>
      <w:bookmarkStart w:id="139" w:name="fig:"/>
      <w:r>
        <w:drawing>
          <wp:inline>
            <wp:extent cx="5600700" cy="4499951"/>
            <wp:effectExtent b="0" l="0" r="0" t="0"/>
            <wp:docPr descr="Imagen 16: Plan de Implementación del Proyecto Hoja de Ruta E-Service FNA, 2023. Abril 2023 a Agosto 2023" title="" id="137" name="Picture"/>
            <a:graphic>
              <a:graphicData uri="http://schemas.openxmlformats.org/drawingml/2006/picture">
                <pic:pic>
                  <pic:nvPicPr>
                    <pic:cNvPr descr="images/pry1gobierno.jpg" id="138"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39"/>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Jun 2023</w:t>
      </w:r>
    </w:p>
    <w:p>
      <w:pPr>
        <w:pStyle w:val="Textodebloque"/>
      </w:pPr>
      <w:r>
        <w:rPr>
          <w:bCs/>
          <w:b/>
        </w:rPr>
        <w:t xml:space="preserve">Versión</w:t>
      </w:r>
      <w:r>
        <w:t xml:space="preserve"> </w:t>
      </w:r>
      <w:r>
        <w:t xml:space="preserve">1.85b01e6</w:t>
      </w:r>
    </w:p>
    <w:p>
      <w:pPr>
        <w:pStyle w:val="FirstParagraph"/>
      </w:pPr>
    </w:p>
    <w:bookmarkEnd w:id="140"/>
    <w:bookmarkStart w:id="145" w:name="referencias"/>
    <w:p>
      <w:pPr>
        <w:pStyle w:val="Ttulo2"/>
      </w:pPr>
      <w:r>
        <w:t xml:space="preserve">Referencias</w:t>
      </w:r>
    </w:p>
    <w:bookmarkStart w:id="141" w:name="refs"/>
    <w:p>
      <w:pPr>
        <w:pStyle w:val="Bibliography"/>
      </w:pPr>
      <w:r>
        <w:t xml:space="preserve">E-Service. Situación SOA Actual del FNA. Etapa I. (2022).</w:t>
      </w:r>
    </w:p>
    <w:bookmarkEnd w:id="141"/>
    <w:bookmarkStart w:id="142" w:name="refs"/>
    <w:p>
      <w:pPr>
        <w:pStyle w:val="Bibliography"/>
      </w:pPr>
      <w:r>
        <w:t xml:space="preserve">E-Service. Arquitectura de Referencia del FNA. Etapa II. (2023).</w:t>
      </w:r>
    </w:p>
    <w:bookmarkEnd w:id="142"/>
    <w:bookmarkStart w:id="143" w:name="refs"/>
    <w:p>
      <w:pPr>
        <w:pStyle w:val="Bibliography"/>
      </w:pPr>
      <w:r>
        <w:t xml:space="preserve">E-Service. Hoja de Ruta e Iniciativas. Etapa III. (2023).</w:t>
      </w:r>
    </w:p>
    <w:bookmarkEnd w:id="143"/>
    <w:bookmarkStart w:id="144" w:name="refs"/>
    <w:p>
      <w:pPr>
        <w:pStyle w:val="Bibliography"/>
      </w:pPr>
      <w:r>
        <w:t xml:space="preserve">TOGAF 9.1. Risk Management (2023). En https://pubs.opengroup.org/architecture/togaf9-doc/arch/chap27.html</w:t>
      </w:r>
    </w:p>
    <w:bookmarkEnd w:id="144"/>
    <w:bookmarkEnd w:id="145"/>
    <w:bookmarkEnd w:id="14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2">
    <w:p>
      <w:pPr>
        <w:pStyle w:val="Textonotapie"/>
      </w:pPr>
      <w:r>
        <w:rPr>
          <w:rStyle w:val="Refdenotaalpie"/>
        </w:rPr>
        <w:footnoteRef/>
      </w:r>
      <w:r>
        <w:t xml:space="preserve"> </w:t>
      </w:r>
      <w:r>
        <w:t xml:space="preserve">Niveles de detalle de la ingeniería: https://editeca.com/lod-nivel-de-desarrollo/</w:t>
      </w:r>
    </w:p>
  </w:footnote>
  <w:footnote w:id="87">
    <w:p>
      <w:pPr>
        <w:pStyle w:val="Textonotapie"/>
      </w:pPr>
      <w:r>
        <w:rPr>
          <w:rStyle w:val="Refdenotaalpie"/>
        </w:rPr>
        <w:footnoteRef/>
      </w:r>
      <w:r>
        <w:t xml:space="preserve"> </w:t>
      </w:r>
      <w:r>
        <w:t xml:space="preserve">Niveles de detalle de la ingeniería: https://editeca.com/lod-nivel-de-desarrollo/</w:t>
      </w:r>
    </w:p>
  </w:footnote>
  <w:footnote w:id="93">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7" Target="media/rId57.jpg" /><Relationship Type="http://schemas.openxmlformats.org/officeDocument/2006/relationships/image" Id="rId128" Target="media/rId128.gif" /><Relationship Type="http://schemas.openxmlformats.org/officeDocument/2006/relationships/image" Id="rId81" Target="media/rId81.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100" Target="media/rId100.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34" Target="media/rId34.jpg" /><Relationship Type="http://schemas.openxmlformats.org/officeDocument/2006/relationships/image" Id="rId106" Target="media/rId106.png" /><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85b01e658eea3e78e7dc48abda7d5088f16358d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85b01e658eea3e78e7dc48abda7d5088f16358d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2023-06-20T13:16:49Z</dcterms:created>
  <dcterms:modified xsi:type="dcterms:W3CDTF">2023-06-20T13:16:49Z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