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STEF@90c63cf</w:t>
        </w:r>
      </w:hyperlink>
      <w:r>
        <w:t xml:space="preserve"> </w:t>
      </w:r>
      <w:r>
        <w:t xml:space="preserve">del June 12, 2023.</w:t>
      </w:r>
      <w:r>
        <w:t xml:space="preserve"> </w:t>
      </w:r>
    </w:p>
    <w:p>
      <w:pPr>
        <w:pStyle w:val="Textoindependiente"/>
      </w:pPr>
      <w:r>
        <w:t xml:space="preserve">   </w:t>
      </w:r>
      <w:r>
        <w:rPr>
          <w:bCs/>
          <w:b/>
        </w:rPr>
        <w:t xml:space="preserve">Versión</w:t>
      </w:r>
      <w:r>
        <w:t xml:space="preserve"> </w:t>
      </w:r>
      <w:r>
        <w:t xml:space="preserve">del producto 1.90c63cf del 12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1.90c63cf del 12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12 Jun 2023</w:t>
      </w:r>
    </w:p>
    <w:p>
      <w:pPr>
        <w:pStyle w:val="Textodebloque"/>
      </w:pPr>
      <w:r>
        <w:rPr>
          <w:bCs/>
          <w:b/>
        </w:rPr>
        <w:t xml:space="preserve">Versión</w:t>
      </w:r>
      <w:r>
        <w:t xml:space="preserve"> </w:t>
      </w:r>
      <w:r>
        <w:t xml:space="preserve">1.90c63cf</w:t>
      </w:r>
    </w:p>
    <w:p>
      <w:pPr>
        <w:pStyle w:val="FirstParagraph"/>
      </w:pPr>
    </w:p>
    <w:bookmarkEnd w:id="30"/>
    <w:bookmarkStart w:id="3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38" w:name="modelo-de-implementación-del-pry01"/>
    <w:p>
      <w:pPr>
        <w:pStyle w:val="Ttulo2"/>
      </w:pPr>
      <w:r>
        <w:t xml:space="preserve">Modelo de Implementación del PRY01</w:t>
      </w:r>
    </w:p>
    <w:bookmarkStart w:id="0" w:name="fig:b5c812e7-2f8f-48f5-9672-576905b34faf"/>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38"/>
    <w:bookmarkEnd w:id="39"/>
    <w:bookmarkStart w:id="56"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4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40"/>
    <w:bookmarkStart w:id="4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41" w:name="flujos-críticos-de-trabajo"/>
    <w:p>
      <w:pPr>
        <w:pStyle w:val="Ttulo3"/>
      </w:pPr>
      <w:r>
        <w:t xml:space="preserve">Flujos Críticos de Trabajo</w:t>
      </w:r>
    </w:p>
    <w:bookmarkEnd w:id="41"/>
    <w:bookmarkStart w:id="42" w:name="gestión-del-riesgo-técnico"/>
    <w:p>
      <w:pPr>
        <w:pStyle w:val="Ttulo3"/>
      </w:pPr>
      <w:r>
        <w:t xml:space="preserve">Gestión del Riesgo Técnico</w:t>
      </w:r>
    </w:p>
    <w:bookmarkEnd w:id="42"/>
    <w:bookmarkStart w:id="4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1.90c63cf del 12 Jun 2023</w:t>
            </w:r>
          </w:p>
        </w:tc>
      </w:tr>
      <w:tr>
        <w:tc>
          <w:tcPr/>
          <w:p>
            <w:pPr>
              <w:pStyle w:val="Compact"/>
              <w:jc w:val="left"/>
            </w:pPr>
            <w:r>
              <w:t xml:space="preserve">Vínculos</w:t>
            </w:r>
          </w:p>
        </w:tc>
        <w:tc>
          <w:tcPr/>
          <w:p>
            <w:pPr>
              <w:pStyle w:val="Compact"/>
              <w:jc w:val="left"/>
            </w:pPr>
            <w:hyperlink r:id="rId43">
              <w:r>
                <w:rPr>
                  <w:rStyle w:val="Hipervnculo"/>
                </w:rPr>
                <w:t xml:space="preserve">N001d. Ejecución Plan de Trabajo SOA</w:t>
              </w:r>
            </w:hyperlink>
            <w:r>
              <w:t xml:space="preserve">;</w:t>
            </w:r>
            <w:r>
              <w:t xml:space="preserve"> </w:t>
            </w:r>
            <w:hyperlink r:id="rId44">
              <w:r>
                <w:rPr>
                  <w:rStyle w:val="Hipervnculo"/>
                </w:rPr>
                <w:t xml:space="preserve">N003a. Procesos de Negocio FNA</w:t>
              </w:r>
            </w:hyperlink>
          </w:p>
        </w:tc>
      </w:tr>
    </w:tbl>
    <w:p>
      <w:pPr>
        <w:pStyle w:val="Textoindependiente"/>
      </w:pPr>
    </w:p>
    <w:bookmarkEnd w:id="45"/>
    <w:bookmarkEnd w:id="46"/>
    <w:bookmarkStart w:id="48" w:name="antecedentes-del-gobierno-soa-del-fna"/>
    <w:p>
      <w:pPr>
        <w:pStyle w:val="Ttulo2"/>
      </w:pPr>
      <w:r>
        <w:t xml:space="preserve">Antecedentes del Gobierno SOA del FNA</w:t>
      </w:r>
    </w:p>
    <w:p>
      <w:pPr>
        <w:pStyle w:val="FirstParagraph"/>
      </w:pPr>
      <w:r>
        <w:t xml:space="preserve">Basado en los resultados de la consultoría E-Service, Fase I, 2022 que señalan la</w:t>
      </w:r>
      <w:r>
        <w:t xml:space="preserve"> </w:t>
      </w:r>
      <w:r>
        <w:rPr>
          <w:iCs/>
          <w:i/>
        </w:rPr>
        <w:t xml:space="preserve">necesidad de manejo de la complejidad creciente en las soluciones del FNA</w:t>
      </w:r>
      <w:r>
        <w:t xml:space="preserve"> </w:t>
      </w:r>
      <w:r>
        <w:t xml:space="preserve">(ver</w:t>
      </w:r>
      <w:r>
        <w:t xml:space="preserve"> </w:t>
      </w:r>
      <w:hyperlink r:id="rId47">
        <w:r>
          <w:rPr>
            <w:rStyle w:val="Hipervnculo"/>
          </w:rPr>
          <w:t xml:space="preserve">Resultados E-Service, Fase I</w:t>
        </w:r>
      </w:hyperlink>
      <w:r>
        <w:t xml:space="preserve">), la empresa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8"/>
    <w:bookmarkStart w:id="5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parte de un centro determinado por el alcance de este proyecto. El centro del proyecto es las partes e ítems seleccionadas de la arquitectura de software y de servicios del FNA (ver vista de contextual, segmento de la empresa,</w:t>
      </w:r>
      <w:r>
        <w:t xml:space="preserve"> </w:t>
      </w:r>
      <w:hyperlink r:id="rId49">
        <w:r>
          <w:rPr>
            <w:rStyle w:val="Hipervnculo"/>
          </w:rPr>
          <w:t xml:space="preserve">PR01. E-Service, Fase II</w:t>
        </w:r>
      </w:hyperlink>
      <w:r>
        <w:t xml:space="preserve">). Desde la vista de segmento del FNA, el impacto de este gobierno , objeto del proyecto, se extiende a actores principales, interesados, usuarios y entidades relacionados con aquellas partes de la arquitectura del FNA.</w:t>
      </w:r>
    </w:p>
    <w:bookmarkStart w:id="54" w:name="X7166a6812353987f8321804b0fe21bd8b239996"/>
    <w:p>
      <w:pPr>
        <w:pStyle w:val="Ttulo3"/>
      </w:pPr>
      <w:r>
        <w:t xml:space="preserve">Definición de Objetivos y Capacidades del Gobierno SOA</w:t>
      </w:r>
    </w:p>
    <w:bookmarkStart w:id="50" w:name="Xa26f50d9d2dc49753c1803d09efa61b9a7ca4e1"/>
    <w:p>
      <w:pPr>
        <w:pStyle w:val="Ttulo4"/>
      </w:pPr>
      <w:r>
        <w:t xml:space="preserve">G-OBJ1. Vigilancia del Riesgo Tecnológico</w:t>
      </w:r>
    </w:p>
    <w:p>
      <w:pPr>
        <w:pStyle w:val="FirstParagraph"/>
      </w:pPr>
      <w:r>
        <w:t xml:space="preserve">La definición de riesgos tecnológico que perseguimos en este contexto es la que se presenta e impacta únicamente a los dominios de arquitectura (TOGAF tm). De esta manera, cada rquitecto puede mitigar aquellos riesgos relacionados con su dominio particular, que son: servicios, aplicaciones, datos e infraestructura. Los riesgos transversales, como los causados por la deuda técnica</w:t>
      </w:r>
    </w:p>
    <w:p>
      <w:pPr>
        <w:pStyle w:val="Textoindependiente"/>
      </w:pPr>
      <w:r>
        <w:t xml:space="preserve">Existen dos niveles de riesgos que es pertinente incluir en este trabajo de definición de gobierno SOA: el riesgo inicial, y el riesgo residual.</w:t>
      </w:r>
    </w:p>
    <w:p>
      <w:pPr>
        <w:pStyle w:val="Textoindependiente"/>
      </w:pPr>
      <w:r>
        <w:t xml:space="preserve">La definición de los tipos de riesgos que consideramos es la siguiente</w:t>
      </w:r>
    </w:p>
    <w:p>
      <w:pPr>
        <w:pStyle w:val="Textoindependiente"/>
      </w:pPr>
      <w:r>
        <w:t xml:space="preserve">Initial Level of Risk: risk categorization prior to determining and implementing mitigating actions</w:t>
      </w:r>
      <w:r>
        <w:t xml:space="preserve"> </w:t>
      </w:r>
      <w:r>
        <w:t xml:space="preserve">Residual Level of Risk: risk categorization after implementation of mitigating actions (if any)</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50"/>
    <w:bookmarkStart w:id="51"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51"/>
    <w:bookmarkStart w:id="53" w:name="Xe8c9e22486e5061d9553b39a47b277bcccd538f"/>
    <w:p>
      <w:pPr>
        <w:pStyle w:val="Ttulo4"/>
      </w:pPr>
      <w:r>
        <w:t xml:space="preserve">G-OBJ3. Vigilar y perseguir índices de efectividad SOA</w:t>
      </w:r>
    </w:p>
    <w:p>
      <w:pPr>
        <w:pStyle w:val="FirstParagraph"/>
      </w:pPr>
      <w:r>
        <w:t xml:space="preserve">Los índices de efectividad SOA presentes en los análisis de madurez como el realizado en la Fase 1 del diagnóstico presente.</w:t>
      </w:r>
    </w:p>
    <w:p>
      <w:pPr>
        <w:pStyle w:val="Textoindependiente"/>
      </w:pPr>
      <w:r>
        <w:t xml:space="preserve">Equilibrio arquitectura y procesos SOA</w:t>
      </w:r>
      <w:r>
        <w:t xml:space="preserve"> </w:t>
      </w:r>
      <w:r>
        <w:t xml:space="preserve">Supervisión de efectividad y factibilidad SOA</w:t>
      </w:r>
      <w:r>
        <w:t xml:space="preserve"> </w:t>
      </w:r>
      <w:r>
        <w:t xml:space="preserve">Mejora de los índices de efectividad (madurez) SOA</w:t>
      </w:r>
      <w:r>
        <w:t xml:space="preserve"> </w:t>
      </w:r>
      <w:r>
        <w:t xml:space="preserve">Consideraciones para la puesta en marcha del gobierno SOA en 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1.90c63cf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2">
              <w:r>
                <w:rPr>
                  <w:rStyle w:val="Hipervnculo"/>
                </w:rPr>
                <w:t xml:space="preserve">Procesos de Negocio FNA</w:t>
              </w:r>
            </w:hyperlink>
          </w:p>
        </w:tc>
      </w:tr>
    </w:tbl>
    <w:p>
      <w:pPr>
        <w:pStyle w:val="Textoindependiente"/>
      </w:pPr>
    </w:p>
    <w:p>
      <w:pPr>
        <w:numPr>
          <w:ilvl w:val="0"/>
          <w:numId w:val="1004"/>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1.90c63cf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2">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1.90c63cf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2">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12 Jun 2023</w:t>
      </w:r>
    </w:p>
    <w:p>
      <w:pPr>
        <w:pStyle w:val="Textodebloque"/>
      </w:pPr>
      <w:r>
        <w:rPr>
          <w:bCs/>
          <w:b/>
        </w:rPr>
        <w:t xml:space="preserve">Versión</w:t>
      </w:r>
      <w:r>
        <w:t xml:space="preserve"> </w:t>
      </w:r>
      <w:r>
        <w:t xml:space="preserve">1.90c63cf</w:t>
      </w:r>
    </w:p>
    <w:p>
      <w:pPr>
        <w:pStyle w:val="FirstParagraph"/>
      </w:pPr>
    </w:p>
    <w:bookmarkEnd w:id="53"/>
    <w:bookmarkEnd w:id="54"/>
    <w:bookmarkEnd w:id="55"/>
    <w:bookmarkEnd w:id="56"/>
    <w:bookmarkStart w:id="69"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57"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57"/>
    <w:bookmarkStart w:id="58" w:name="contenidos-1"/>
    <w:p>
      <w:pPr>
        <w:pStyle w:val="Ttulo2"/>
      </w:pPr>
      <w:r>
        <w:t xml:space="preserve">Contenidos</w:t>
      </w:r>
    </w:p>
    <w:p>
      <w:pPr>
        <w:numPr>
          <w:ilvl w:val="0"/>
          <w:numId w:val="1007"/>
        </w:numPr>
        <w:pStyle w:val="Compact"/>
      </w:pPr>
      <w:r>
        <w:t xml:space="preserve">Modelo operativo del Comité de Gobierno de Arquitecturas del FNA: ámbitos y alcances del comité</w:t>
      </w:r>
    </w:p>
    <w:p>
      <w:pPr>
        <w:numPr>
          <w:ilvl w:val="0"/>
          <w:numId w:val="1007"/>
        </w:numPr>
        <w:pStyle w:val="Compact"/>
      </w:pPr>
      <w:r>
        <w:t xml:space="preserve">Consideraciones para la puesta en marcha de la bitácora de decisiones de arquitectura</w:t>
      </w:r>
    </w:p>
    <w:p>
      <w:pPr>
        <w:numPr>
          <w:ilvl w:val="0"/>
          <w:numId w:val="1007"/>
        </w:numPr>
        <w:pStyle w:val="Compact"/>
      </w:pPr>
      <w:r>
        <w:t xml:space="preserve">Respositorio y gestión de los requerimientos de arquitectura del FNA (flexibilidad, confiabilidad, rendimiento, mantenibilidad)</w:t>
      </w:r>
    </w:p>
    <w:p>
      <w:pPr>
        <w:numPr>
          <w:ilvl w:val="0"/>
          <w:numId w:val="1007"/>
        </w:numPr>
        <w:pStyle w:val="Compact"/>
      </w:pPr>
      <w:r>
        <w:t xml:space="preserve">Métodos de evaluación de arquitecturas para el FNA</w:t>
      </w:r>
    </w:p>
    <w:p>
      <w:pPr>
        <w:pStyle w:val="FirstParagraph"/>
      </w:pPr>
    </w:p>
    <w:bookmarkEnd w:id="58"/>
    <w:bookmarkStart w:id="59" w:name="criterios-de-aceptación-1"/>
    <w:p>
      <w:pPr>
        <w:pStyle w:val="Ttulo2"/>
      </w:pPr>
      <w:r>
        <w:t xml:space="preserve">Criterios de Aceptación</w:t>
      </w:r>
    </w:p>
    <w:p>
      <w:pPr>
        <w:numPr>
          <w:ilvl w:val="0"/>
          <w:numId w:val="1008"/>
        </w:numPr>
        <w:pStyle w:val="Compact"/>
      </w:pPr>
      <w:r>
        <w:t xml:space="preserve">Especificaciones de la bitácora de decisiones de arquitectura</w:t>
      </w:r>
    </w:p>
    <w:p>
      <w:pPr>
        <w:numPr>
          <w:ilvl w:val="0"/>
          <w:numId w:val="1008"/>
        </w:numPr>
        <w:pStyle w:val="Compact"/>
      </w:pPr>
      <w:r>
        <w:t xml:space="preserve">Especificaciones de funcionamiento del Comité de Gobierno de Arquitecturas del FNA</w:t>
      </w:r>
    </w:p>
    <w:p>
      <w:pPr>
        <w:numPr>
          <w:ilvl w:val="0"/>
          <w:numId w:val="1008"/>
        </w:numPr>
        <w:pStyle w:val="Compact"/>
      </w:pPr>
      <w:r>
        <w:t xml:space="preserve">Esquema de comunicación y publicación de cambios a las arquitecturas del FNA</w:t>
      </w:r>
    </w:p>
    <w:p>
      <w:pPr>
        <w:pStyle w:val="FirstParagraph"/>
      </w:pPr>
    </w:p>
    <w:bookmarkEnd w:id="59"/>
    <w:bookmarkStart w:id="63" w:name="modelo-de-implementación-del-pry01-1"/>
    <w:p>
      <w:pPr>
        <w:pStyle w:val="Ttulo2"/>
      </w:pPr>
      <w:r>
        <w:t xml:space="preserve">Modelo de Implementación del PRY01</w:t>
      </w:r>
    </w:p>
    <w:bookmarkStart w:id="0" w:name="fig:e8002dd0-dad5-4353-95a8-6135d33f5c0f"/>
    <w:p>
      <w:pPr>
        <w:pStyle w:val="CaptionedFigure"/>
      </w:pPr>
      <w:bookmarkStart w:id="62" w:name="fig:"/>
      <w:r>
        <w:drawing>
          <wp:inline>
            <wp:extent cx="5600700" cy="4499951"/>
            <wp:effectExtent b="0" l="0" r="0" t="0"/>
            <wp:docPr descr="Imagen 2: Plan de Implementación del Proyecto Hoja de Ruta E-Service FNA, 2023. Abril 2023 a Agosto 2023" title="" id="60" name="Picture"/>
            <a:graphic>
              <a:graphicData uri="http://schemas.openxmlformats.org/drawingml/2006/picture">
                <pic:pic>
                  <pic:nvPicPr>
                    <pic:cNvPr descr="images/pry1gobierno.jpg" id="61"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62"/>
    </w:p>
    <w:p>
      <w:pPr>
        <w:pStyle w:val="ImageCaption"/>
      </w:pPr>
      <w:r>
        <w:t xml:space="preserve">Imagen 2: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p>
      <w:r>
        <w:pict>
          <v:rect style="width:0;height:1.5pt" o:hralign="center" o:hrstd="t" o:hr="t"/>
        </w:pict>
      </w:r>
    </w:p>
    <w:bookmarkEnd w:id="63"/>
    <w:bookmarkStart w:id="68" w:name="referencias"/>
    <w:p>
      <w:pPr>
        <w:pStyle w:val="Ttulo2"/>
      </w:pPr>
      <w:r>
        <w:t xml:space="preserve">Referencias</w:t>
      </w:r>
    </w:p>
    <w:bookmarkStart w:id="64" w:name="refs"/>
    <w:p>
      <w:pPr>
        <w:pStyle w:val="Bibliography"/>
      </w:pPr>
      <w:r>
        <w:t xml:space="preserve">E-Service. Situación SOA Actual del FNA. Etapa I. (2022).</w:t>
      </w:r>
    </w:p>
    <w:bookmarkEnd w:id="64"/>
    <w:bookmarkStart w:id="65" w:name="refs"/>
    <w:p>
      <w:pPr>
        <w:pStyle w:val="Bibliography"/>
      </w:pPr>
      <w:r>
        <w:t xml:space="preserve">E-Service. Arquitectura de Referencia del FNA. Etapa II. (2023).</w:t>
      </w:r>
    </w:p>
    <w:bookmarkEnd w:id="65"/>
    <w:bookmarkStart w:id="66" w:name="refs"/>
    <w:p>
      <w:pPr>
        <w:pStyle w:val="Bibliography"/>
      </w:pPr>
      <w:r>
        <w:t xml:space="preserve">E-Service. Hoja de Ruta e Iniciativas. Etapa III. (2023).</w:t>
      </w:r>
    </w:p>
    <w:bookmarkEnd w:id="66"/>
    <w:bookmarkStart w:id="67" w:name="refs"/>
    <w:p>
      <w:pPr>
        <w:pStyle w:val="Bibliography"/>
      </w:pPr>
      <w:r>
        <w:t xml:space="preserve">TOGAF 9.1. Risk Management (2023). En https://pubs.opengroup.org/architecture/togaf9-doc/arch/chap27.html</w:t>
      </w:r>
    </w:p>
    <w:bookmarkEnd w:id="67"/>
    <w:bookmarkEnd w:id="68"/>
    <w:bookmarkEnd w:id="6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jp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90c63cfb6a250c3345d4650e1dbb1722d65428d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5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90c63cfb6a250c3345d4650e1dbb1722d65428d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5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2023-06-12T19:42:09Z</dcterms:created>
  <dcterms:modified xsi:type="dcterms:W3CDTF">2023-06-12T19:42:09Z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